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B6B2" w14:textId="77777777" w:rsidR="00D5547E" w:rsidRPr="00387207" w:rsidRDefault="00D5547E" w:rsidP="004A6D2F">
      <w:pPr>
        <w:rPr>
          <w:rFonts w:cs="Arial"/>
          <w:sz w:val="22"/>
          <w:szCs w:val="22"/>
        </w:rPr>
      </w:pPr>
    </w:p>
    <w:tbl>
      <w:tblPr>
        <w:tblW w:w="0" w:type="auto"/>
        <w:tblInd w:w="108" w:type="dxa"/>
        <w:tblLayout w:type="fixed"/>
        <w:tblLook w:val="04A0" w:firstRow="1" w:lastRow="0" w:firstColumn="1" w:lastColumn="0" w:noHBand="0" w:noVBand="1"/>
      </w:tblPr>
      <w:tblGrid>
        <w:gridCol w:w="2438"/>
        <w:gridCol w:w="6406"/>
      </w:tblGrid>
      <w:tr w:rsidR="00CE544A" w:rsidRPr="00387207" w14:paraId="34C0B6B5" w14:textId="77777777" w:rsidTr="005F7F7E">
        <w:tc>
          <w:tcPr>
            <w:tcW w:w="2438" w:type="dxa"/>
            <w:shd w:val="clear" w:color="auto" w:fill="auto"/>
          </w:tcPr>
          <w:p w14:paraId="34C0B6B3" w14:textId="77777777" w:rsidR="00F445B1" w:rsidRPr="00387207" w:rsidRDefault="00F445B1" w:rsidP="004A6D2F">
            <w:pPr>
              <w:rPr>
                <w:rStyle w:val="Firstpagetablebold"/>
                <w:rFonts w:cs="Arial"/>
                <w:sz w:val="22"/>
                <w:szCs w:val="22"/>
              </w:rPr>
            </w:pPr>
            <w:r w:rsidRPr="00387207">
              <w:rPr>
                <w:rStyle w:val="Firstpagetablebold"/>
                <w:rFonts w:cs="Arial"/>
                <w:sz w:val="22"/>
                <w:szCs w:val="22"/>
              </w:rPr>
              <w:t>To</w:t>
            </w:r>
            <w:r w:rsidR="005C35A5" w:rsidRPr="00387207">
              <w:rPr>
                <w:rStyle w:val="Firstpagetablebold"/>
                <w:rFonts w:cs="Arial"/>
                <w:sz w:val="22"/>
                <w:szCs w:val="22"/>
              </w:rPr>
              <w:t>:</w:t>
            </w:r>
          </w:p>
        </w:tc>
        <w:tc>
          <w:tcPr>
            <w:tcW w:w="6406" w:type="dxa"/>
            <w:shd w:val="clear" w:color="auto" w:fill="auto"/>
          </w:tcPr>
          <w:p w14:paraId="34C0B6B4" w14:textId="77777777" w:rsidR="00F445B1" w:rsidRPr="00387207" w:rsidRDefault="00DB7AD7" w:rsidP="004A6D2F">
            <w:pPr>
              <w:rPr>
                <w:rStyle w:val="Firstpagetablebold"/>
                <w:rFonts w:cs="Arial"/>
                <w:sz w:val="22"/>
                <w:szCs w:val="22"/>
              </w:rPr>
            </w:pPr>
            <w:r w:rsidRPr="00387207">
              <w:rPr>
                <w:rStyle w:val="Firstpagetablebold"/>
                <w:rFonts w:cs="Arial"/>
                <w:sz w:val="22"/>
                <w:szCs w:val="22"/>
              </w:rPr>
              <w:t>Cabinet</w:t>
            </w:r>
          </w:p>
        </w:tc>
      </w:tr>
      <w:tr w:rsidR="00CE544A" w:rsidRPr="00387207" w14:paraId="34C0B6B8" w14:textId="77777777" w:rsidTr="005F7F7E">
        <w:tc>
          <w:tcPr>
            <w:tcW w:w="2438" w:type="dxa"/>
            <w:shd w:val="clear" w:color="auto" w:fill="auto"/>
          </w:tcPr>
          <w:p w14:paraId="34C0B6B6" w14:textId="77777777" w:rsidR="00F445B1" w:rsidRPr="00387207" w:rsidRDefault="00F445B1" w:rsidP="004A6D2F">
            <w:pPr>
              <w:rPr>
                <w:rStyle w:val="Firstpagetablebold"/>
                <w:rFonts w:cs="Arial"/>
                <w:sz w:val="22"/>
                <w:szCs w:val="22"/>
              </w:rPr>
            </w:pPr>
            <w:r w:rsidRPr="00387207">
              <w:rPr>
                <w:rStyle w:val="Firstpagetablebold"/>
                <w:rFonts w:cs="Arial"/>
                <w:sz w:val="22"/>
                <w:szCs w:val="22"/>
              </w:rPr>
              <w:t>Dat</w:t>
            </w:r>
            <w:r w:rsidR="005C35A5" w:rsidRPr="00387207">
              <w:rPr>
                <w:rStyle w:val="Firstpagetablebold"/>
                <w:rFonts w:cs="Arial"/>
                <w:sz w:val="22"/>
                <w:szCs w:val="22"/>
              </w:rPr>
              <w:t>e:</w:t>
            </w:r>
          </w:p>
        </w:tc>
        <w:tc>
          <w:tcPr>
            <w:tcW w:w="6406" w:type="dxa"/>
            <w:shd w:val="clear" w:color="auto" w:fill="auto"/>
          </w:tcPr>
          <w:p w14:paraId="34C0B6B7" w14:textId="385A327F" w:rsidR="00F445B1" w:rsidRPr="00387207" w:rsidRDefault="008B11FD" w:rsidP="007B5CA2">
            <w:pPr>
              <w:rPr>
                <w:rFonts w:cs="Arial"/>
                <w:b/>
                <w:sz w:val="22"/>
                <w:szCs w:val="22"/>
              </w:rPr>
            </w:pPr>
            <w:r w:rsidRPr="00387207">
              <w:rPr>
                <w:rStyle w:val="Firstpagetablebold"/>
                <w:rFonts w:cs="Arial"/>
                <w:sz w:val="22"/>
                <w:szCs w:val="22"/>
              </w:rPr>
              <w:t>13 November 2024</w:t>
            </w:r>
          </w:p>
        </w:tc>
      </w:tr>
      <w:tr w:rsidR="00CE544A" w:rsidRPr="00387207" w14:paraId="34C0B6BB" w14:textId="77777777" w:rsidTr="005F7F7E">
        <w:tc>
          <w:tcPr>
            <w:tcW w:w="2438" w:type="dxa"/>
            <w:shd w:val="clear" w:color="auto" w:fill="auto"/>
          </w:tcPr>
          <w:p w14:paraId="34C0B6B9" w14:textId="77777777" w:rsidR="00F445B1" w:rsidRPr="00387207" w:rsidRDefault="00F445B1" w:rsidP="004A6D2F">
            <w:pPr>
              <w:rPr>
                <w:rStyle w:val="Firstpagetablebold"/>
                <w:rFonts w:cs="Arial"/>
                <w:sz w:val="22"/>
                <w:szCs w:val="22"/>
              </w:rPr>
            </w:pPr>
            <w:r w:rsidRPr="00387207">
              <w:rPr>
                <w:rStyle w:val="Firstpagetablebold"/>
                <w:rFonts w:cs="Arial"/>
                <w:sz w:val="22"/>
                <w:szCs w:val="22"/>
              </w:rPr>
              <w:t>Report of</w:t>
            </w:r>
            <w:r w:rsidR="005C35A5" w:rsidRPr="00387207">
              <w:rPr>
                <w:rStyle w:val="Firstpagetablebold"/>
                <w:rFonts w:cs="Arial"/>
                <w:sz w:val="22"/>
                <w:szCs w:val="22"/>
              </w:rPr>
              <w:t>:</w:t>
            </w:r>
          </w:p>
        </w:tc>
        <w:tc>
          <w:tcPr>
            <w:tcW w:w="6406" w:type="dxa"/>
            <w:shd w:val="clear" w:color="auto" w:fill="auto"/>
          </w:tcPr>
          <w:p w14:paraId="34C0B6BA" w14:textId="3722E327" w:rsidR="00F445B1" w:rsidRPr="00387207" w:rsidRDefault="00FD1DFA" w:rsidP="00281715">
            <w:pPr>
              <w:rPr>
                <w:rStyle w:val="Firstpagetablebold"/>
                <w:rFonts w:cs="Arial"/>
                <w:sz w:val="22"/>
                <w:szCs w:val="22"/>
              </w:rPr>
            </w:pPr>
            <w:r w:rsidRPr="00387207">
              <w:rPr>
                <w:rStyle w:val="Firstpagetablebold"/>
                <w:rFonts w:cs="Arial"/>
                <w:sz w:val="22"/>
                <w:szCs w:val="22"/>
              </w:rPr>
              <w:t xml:space="preserve">Executive Director </w:t>
            </w:r>
            <w:r w:rsidR="00281715" w:rsidRPr="00387207">
              <w:rPr>
                <w:rStyle w:val="Firstpagetablebold"/>
                <w:rFonts w:cs="Arial"/>
                <w:sz w:val="22"/>
                <w:szCs w:val="22"/>
              </w:rPr>
              <w:t>(Communities and People)</w:t>
            </w:r>
          </w:p>
        </w:tc>
      </w:tr>
      <w:tr w:rsidR="00CE544A" w:rsidRPr="00387207" w14:paraId="34C0B6BE" w14:textId="77777777" w:rsidTr="005F7F7E">
        <w:tc>
          <w:tcPr>
            <w:tcW w:w="2438" w:type="dxa"/>
            <w:shd w:val="clear" w:color="auto" w:fill="auto"/>
          </w:tcPr>
          <w:p w14:paraId="34C0B6BC" w14:textId="77777777" w:rsidR="00F445B1" w:rsidRPr="00387207" w:rsidRDefault="00F445B1" w:rsidP="004A6D2F">
            <w:pPr>
              <w:rPr>
                <w:rStyle w:val="Firstpagetablebold"/>
                <w:rFonts w:cs="Arial"/>
                <w:sz w:val="22"/>
                <w:szCs w:val="22"/>
              </w:rPr>
            </w:pPr>
            <w:r w:rsidRPr="00387207">
              <w:rPr>
                <w:rStyle w:val="Firstpagetablebold"/>
                <w:rFonts w:cs="Arial"/>
                <w:sz w:val="22"/>
                <w:szCs w:val="22"/>
              </w:rPr>
              <w:t xml:space="preserve">Title of Report: </w:t>
            </w:r>
          </w:p>
        </w:tc>
        <w:tc>
          <w:tcPr>
            <w:tcW w:w="6406" w:type="dxa"/>
            <w:shd w:val="clear" w:color="auto" w:fill="auto"/>
          </w:tcPr>
          <w:p w14:paraId="34C0B6BD" w14:textId="5413A810" w:rsidR="00F445B1" w:rsidRPr="00387207" w:rsidRDefault="0041611D" w:rsidP="008F39EA">
            <w:pPr>
              <w:rPr>
                <w:rStyle w:val="Firstpagetablebold"/>
                <w:rFonts w:cs="Arial"/>
                <w:sz w:val="22"/>
                <w:szCs w:val="22"/>
              </w:rPr>
            </w:pPr>
            <w:r w:rsidRPr="00387207">
              <w:rPr>
                <w:rFonts w:cs="Arial"/>
                <w:b/>
                <w:sz w:val="22"/>
                <w:szCs w:val="22"/>
              </w:rPr>
              <w:t xml:space="preserve">Local Authority Housing </w:t>
            </w:r>
            <w:r w:rsidR="008F39EA" w:rsidRPr="00387207">
              <w:rPr>
                <w:rFonts w:cs="Arial"/>
                <w:b/>
                <w:sz w:val="22"/>
                <w:szCs w:val="22"/>
              </w:rPr>
              <w:t>Fund -</w:t>
            </w:r>
            <w:r w:rsidR="00D119BA" w:rsidRPr="00387207">
              <w:rPr>
                <w:rFonts w:cs="Arial"/>
                <w:b/>
                <w:sz w:val="22"/>
                <w:szCs w:val="22"/>
              </w:rPr>
              <w:t xml:space="preserve"> Round </w:t>
            </w:r>
            <w:r w:rsidR="008B11FD" w:rsidRPr="00387207">
              <w:rPr>
                <w:rFonts w:cs="Arial"/>
                <w:b/>
                <w:sz w:val="22"/>
                <w:szCs w:val="22"/>
              </w:rPr>
              <w:t>3</w:t>
            </w:r>
          </w:p>
        </w:tc>
      </w:tr>
    </w:tbl>
    <w:p w14:paraId="34C0B6BF" w14:textId="77777777" w:rsidR="004F20EF" w:rsidRPr="00387207" w:rsidRDefault="004F20EF" w:rsidP="004A6D2F">
      <w:pPr>
        <w:rPr>
          <w:rFonts w:cs="Arial"/>
          <w:sz w:val="22"/>
          <w:szCs w:val="22"/>
          <w:highlight w:val="yellow"/>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rsidRPr="00387207" w14:paraId="34C0B6C1" w14:textId="77777777" w:rsidTr="607D3C6C">
        <w:tc>
          <w:tcPr>
            <w:tcW w:w="8845" w:type="dxa"/>
            <w:gridSpan w:val="2"/>
            <w:tcBorders>
              <w:bottom w:val="single" w:sz="8" w:space="0" w:color="000000" w:themeColor="text1"/>
            </w:tcBorders>
            <w:hideMark/>
          </w:tcPr>
          <w:p w14:paraId="34C0B6C0" w14:textId="77777777" w:rsidR="00D5547E" w:rsidRPr="00387207" w:rsidRDefault="00745BF0" w:rsidP="00745BF0">
            <w:pPr>
              <w:jc w:val="center"/>
              <w:rPr>
                <w:rStyle w:val="Firstpagetablebold"/>
                <w:rFonts w:cs="Arial"/>
                <w:sz w:val="22"/>
                <w:szCs w:val="22"/>
              </w:rPr>
            </w:pPr>
            <w:r w:rsidRPr="00387207">
              <w:rPr>
                <w:rStyle w:val="Firstpagetablebold"/>
                <w:rFonts w:cs="Arial"/>
                <w:sz w:val="22"/>
                <w:szCs w:val="22"/>
              </w:rPr>
              <w:t>Summary and r</w:t>
            </w:r>
            <w:r w:rsidR="00D5547E" w:rsidRPr="00387207">
              <w:rPr>
                <w:rStyle w:val="Firstpagetablebold"/>
                <w:rFonts w:cs="Arial"/>
                <w:sz w:val="22"/>
                <w:szCs w:val="22"/>
              </w:rPr>
              <w:t>ecommendations</w:t>
            </w:r>
          </w:p>
        </w:tc>
      </w:tr>
      <w:tr w:rsidR="00D5547E" w:rsidRPr="00387207" w14:paraId="34C0B6C4" w14:textId="77777777" w:rsidTr="607D3C6C">
        <w:tc>
          <w:tcPr>
            <w:tcW w:w="2438" w:type="dxa"/>
            <w:tcBorders>
              <w:top w:val="single" w:sz="8" w:space="0" w:color="000000" w:themeColor="text1"/>
              <w:left w:val="single" w:sz="8" w:space="0" w:color="000000" w:themeColor="text1"/>
              <w:bottom w:val="nil"/>
              <w:right w:val="nil"/>
            </w:tcBorders>
            <w:hideMark/>
          </w:tcPr>
          <w:p w14:paraId="34C0B6C2" w14:textId="77777777" w:rsidR="00D5547E" w:rsidRPr="00387207" w:rsidRDefault="00D5547E">
            <w:pPr>
              <w:rPr>
                <w:rStyle w:val="Firstpagetablebold"/>
                <w:rFonts w:cs="Arial"/>
                <w:sz w:val="22"/>
                <w:szCs w:val="22"/>
              </w:rPr>
            </w:pPr>
            <w:r w:rsidRPr="00387207">
              <w:rPr>
                <w:rStyle w:val="Firstpagetablebold"/>
                <w:rFonts w:cs="Arial"/>
                <w:sz w:val="22"/>
                <w:szCs w:val="22"/>
              </w:rPr>
              <w:t>Purpose of report:</w:t>
            </w:r>
          </w:p>
        </w:tc>
        <w:tc>
          <w:tcPr>
            <w:tcW w:w="6407" w:type="dxa"/>
            <w:tcBorders>
              <w:top w:val="single" w:sz="8" w:space="0" w:color="000000" w:themeColor="text1"/>
              <w:left w:val="nil"/>
              <w:bottom w:val="nil"/>
              <w:right w:val="single" w:sz="8" w:space="0" w:color="000000" w:themeColor="text1"/>
            </w:tcBorders>
            <w:hideMark/>
          </w:tcPr>
          <w:p w14:paraId="34C0B6C3" w14:textId="158B74C9" w:rsidR="00D5547E" w:rsidRPr="00387207" w:rsidRDefault="607D3C6C" w:rsidP="009E10AF">
            <w:pPr>
              <w:rPr>
                <w:rFonts w:cs="Arial"/>
                <w:sz w:val="22"/>
                <w:szCs w:val="22"/>
              </w:rPr>
            </w:pPr>
            <w:r w:rsidRPr="00387207">
              <w:rPr>
                <w:rFonts w:cs="Arial"/>
                <w:sz w:val="22"/>
                <w:szCs w:val="22"/>
              </w:rPr>
              <w:t xml:space="preserve">The report seeks to make available the required budget provision and the necessary project approval and delegations to enable the Council to proceed with </w:t>
            </w:r>
            <w:proofErr w:type="gramStart"/>
            <w:r w:rsidRPr="00387207">
              <w:rPr>
                <w:rFonts w:cs="Arial"/>
                <w:sz w:val="22"/>
                <w:szCs w:val="22"/>
              </w:rPr>
              <w:t>entering into</w:t>
            </w:r>
            <w:proofErr w:type="gramEnd"/>
            <w:r w:rsidRPr="00387207">
              <w:rPr>
                <w:rFonts w:cs="Arial"/>
                <w:sz w:val="22"/>
                <w:szCs w:val="22"/>
              </w:rPr>
              <w:t xml:space="preserve"> the national Local Authority Housing Fund Round </w:t>
            </w:r>
            <w:r w:rsidR="008B11FD" w:rsidRPr="00387207">
              <w:rPr>
                <w:rFonts w:cs="Arial"/>
                <w:sz w:val="22"/>
                <w:szCs w:val="22"/>
              </w:rPr>
              <w:t>3</w:t>
            </w:r>
            <w:r w:rsidRPr="00387207">
              <w:rPr>
                <w:rFonts w:cs="Arial"/>
                <w:sz w:val="22"/>
                <w:szCs w:val="22"/>
              </w:rPr>
              <w:t xml:space="preserve">.  </w:t>
            </w:r>
          </w:p>
        </w:tc>
      </w:tr>
      <w:tr w:rsidR="00D5547E" w:rsidRPr="00387207" w14:paraId="34C0B6C7" w14:textId="77777777" w:rsidTr="607D3C6C">
        <w:tc>
          <w:tcPr>
            <w:tcW w:w="2438" w:type="dxa"/>
            <w:tcBorders>
              <w:top w:val="nil"/>
              <w:left w:val="single" w:sz="8" w:space="0" w:color="000000" w:themeColor="text1"/>
              <w:bottom w:val="nil"/>
              <w:right w:val="nil"/>
            </w:tcBorders>
            <w:hideMark/>
          </w:tcPr>
          <w:p w14:paraId="34C0B6C5" w14:textId="77777777" w:rsidR="00D5547E" w:rsidRPr="00387207" w:rsidRDefault="00D5547E">
            <w:pPr>
              <w:rPr>
                <w:rStyle w:val="Firstpagetablebold"/>
                <w:rFonts w:cs="Arial"/>
                <w:sz w:val="22"/>
                <w:szCs w:val="22"/>
              </w:rPr>
            </w:pPr>
            <w:r w:rsidRPr="00387207">
              <w:rPr>
                <w:rStyle w:val="Firstpagetablebold"/>
                <w:rFonts w:cs="Arial"/>
                <w:sz w:val="22"/>
                <w:szCs w:val="22"/>
              </w:rPr>
              <w:t>Key decision:</w:t>
            </w:r>
          </w:p>
        </w:tc>
        <w:tc>
          <w:tcPr>
            <w:tcW w:w="6407" w:type="dxa"/>
            <w:tcBorders>
              <w:top w:val="nil"/>
              <w:left w:val="nil"/>
              <w:bottom w:val="nil"/>
              <w:right w:val="single" w:sz="8" w:space="0" w:color="000000" w:themeColor="text1"/>
            </w:tcBorders>
            <w:hideMark/>
          </w:tcPr>
          <w:p w14:paraId="34C0B6C6" w14:textId="6CE068BD" w:rsidR="00D5547E" w:rsidRPr="00387207" w:rsidRDefault="001C328A" w:rsidP="005D6343">
            <w:pPr>
              <w:rPr>
                <w:rFonts w:cs="Arial"/>
                <w:sz w:val="22"/>
                <w:szCs w:val="22"/>
              </w:rPr>
            </w:pPr>
            <w:r w:rsidRPr="00387207">
              <w:rPr>
                <w:rFonts w:cs="Arial"/>
                <w:sz w:val="22"/>
                <w:szCs w:val="22"/>
              </w:rPr>
              <w:t>Yes</w:t>
            </w:r>
          </w:p>
        </w:tc>
      </w:tr>
      <w:tr w:rsidR="00D5547E" w:rsidRPr="00387207" w14:paraId="34C0B6CA" w14:textId="77777777" w:rsidTr="607D3C6C">
        <w:tc>
          <w:tcPr>
            <w:tcW w:w="2438" w:type="dxa"/>
            <w:tcBorders>
              <w:top w:val="nil"/>
              <w:left w:val="single" w:sz="8" w:space="0" w:color="000000" w:themeColor="text1"/>
              <w:bottom w:val="nil"/>
              <w:right w:val="nil"/>
            </w:tcBorders>
            <w:hideMark/>
          </w:tcPr>
          <w:p w14:paraId="34C0B6C8" w14:textId="77777777" w:rsidR="00D5547E" w:rsidRPr="00387207" w:rsidRDefault="00D860E2">
            <w:pPr>
              <w:rPr>
                <w:rStyle w:val="Firstpagetablebold"/>
                <w:rFonts w:cs="Arial"/>
                <w:sz w:val="22"/>
                <w:szCs w:val="22"/>
              </w:rPr>
            </w:pPr>
            <w:r w:rsidRPr="00387207">
              <w:rPr>
                <w:rStyle w:val="Firstpagetablebold"/>
                <w:rFonts w:cs="Arial"/>
                <w:sz w:val="22"/>
                <w:szCs w:val="22"/>
              </w:rPr>
              <w:t>Cabinet</w:t>
            </w:r>
            <w:r w:rsidR="00D5547E" w:rsidRPr="00387207">
              <w:rPr>
                <w:rStyle w:val="Firstpagetablebold"/>
                <w:rFonts w:cs="Arial"/>
                <w:sz w:val="22"/>
                <w:szCs w:val="22"/>
              </w:rPr>
              <w:t xml:space="preserve"> Member:</w:t>
            </w:r>
          </w:p>
        </w:tc>
        <w:tc>
          <w:tcPr>
            <w:tcW w:w="6407" w:type="dxa"/>
            <w:tcBorders>
              <w:top w:val="nil"/>
              <w:left w:val="nil"/>
              <w:bottom w:val="nil"/>
              <w:right w:val="single" w:sz="8" w:space="0" w:color="000000" w:themeColor="text1"/>
            </w:tcBorders>
            <w:hideMark/>
          </w:tcPr>
          <w:p w14:paraId="34C0B6C9" w14:textId="4EA0FEDB" w:rsidR="00D5547E" w:rsidRPr="00387207" w:rsidRDefault="00DA3E7F" w:rsidP="005F7F7E">
            <w:pPr>
              <w:rPr>
                <w:rFonts w:cs="Arial"/>
                <w:sz w:val="22"/>
                <w:szCs w:val="22"/>
              </w:rPr>
            </w:pPr>
            <w:r w:rsidRPr="00387207">
              <w:rPr>
                <w:rFonts w:cs="Arial"/>
                <w:sz w:val="22"/>
                <w:szCs w:val="22"/>
              </w:rPr>
              <w:t>Council</w:t>
            </w:r>
            <w:r w:rsidR="001C328A" w:rsidRPr="00387207">
              <w:rPr>
                <w:rFonts w:cs="Arial"/>
                <w:sz w:val="22"/>
                <w:szCs w:val="22"/>
              </w:rPr>
              <w:t>lor Linda Smith, Cabinet Member for Housing</w:t>
            </w:r>
            <w:r w:rsidR="00CF44B5" w:rsidRPr="00387207">
              <w:rPr>
                <w:rFonts w:cs="Arial"/>
                <w:sz w:val="22"/>
                <w:szCs w:val="22"/>
              </w:rPr>
              <w:t xml:space="preserve"> and Communities</w:t>
            </w:r>
          </w:p>
        </w:tc>
      </w:tr>
      <w:tr w:rsidR="0080749A" w:rsidRPr="00387207" w14:paraId="34C0B6CD" w14:textId="77777777" w:rsidTr="607D3C6C">
        <w:tc>
          <w:tcPr>
            <w:tcW w:w="2438" w:type="dxa"/>
            <w:tcBorders>
              <w:top w:val="nil"/>
              <w:left w:val="single" w:sz="8" w:space="0" w:color="000000" w:themeColor="text1"/>
              <w:bottom w:val="nil"/>
              <w:right w:val="nil"/>
            </w:tcBorders>
          </w:tcPr>
          <w:p w14:paraId="34C0B6CB" w14:textId="77777777" w:rsidR="0080749A" w:rsidRPr="00387207" w:rsidRDefault="0080749A">
            <w:pPr>
              <w:rPr>
                <w:rStyle w:val="Firstpagetablebold"/>
                <w:rFonts w:cs="Arial"/>
                <w:sz w:val="22"/>
                <w:szCs w:val="22"/>
              </w:rPr>
            </w:pPr>
            <w:r w:rsidRPr="00387207">
              <w:rPr>
                <w:rStyle w:val="Firstpagetablebold"/>
                <w:rFonts w:cs="Arial"/>
                <w:sz w:val="22"/>
                <w:szCs w:val="22"/>
              </w:rPr>
              <w:t>Corporate Priority:</w:t>
            </w:r>
          </w:p>
        </w:tc>
        <w:tc>
          <w:tcPr>
            <w:tcW w:w="6407" w:type="dxa"/>
            <w:tcBorders>
              <w:top w:val="nil"/>
              <w:left w:val="nil"/>
              <w:bottom w:val="nil"/>
              <w:right w:val="single" w:sz="8" w:space="0" w:color="000000" w:themeColor="text1"/>
            </w:tcBorders>
          </w:tcPr>
          <w:p w14:paraId="34C0B6CC" w14:textId="08F4366D" w:rsidR="0080749A" w:rsidRPr="00387207" w:rsidRDefault="0096634F" w:rsidP="005D6343">
            <w:pPr>
              <w:rPr>
                <w:rFonts w:cs="Arial"/>
                <w:sz w:val="22"/>
                <w:szCs w:val="22"/>
              </w:rPr>
            </w:pPr>
            <w:r w:rsidRPr="00387207">
              <w:rPr>
                <w:rFonts w:cs="Arial"/>
                <w:color w:val="auto"/>
                <w:sz w:val="22"/>
                <w:szCs w:val="22"/>
              </w:rPr>
              <w:t>Deliver good, affordable homes and support thriving communities</w:t>
            </w:r>
          </w:p>
        </w:tc>
      </w:tr>
      <w:tr w:rsidR="00D5547E" w:rsidRPr="00387207" w14:paraId="34C0B6D0" w14:textId="77777777" w:rsidTr="607D3C6C">
        <w:tc>
          <w:tcPr>
            <w:tcW w:w="2438" w:type="dxa"/>
            <w:tcBorders>
              <w:top w:val="nil"/>
              <w:left w:val="single" w:sz="8" w:space="0" w:color="000000" w:themeColor="text1"/>
              <w:bottom w:val="single" w:sz="4" w:space="0" w:color="auto"/>
              <w:right w:val="nil"/>
            </w:tcBorders>
            <w:hideMark/>
          </w:tcPr>
          <w:p w14:paraId="34C0B6CE" w14:textId="77777777" w:rsidR="00D5547E" w:rsidRPr="00387207" w:rsidRDefault="00D5547E">
            <w:pPr>
              <w:rPr>
                <w:rStyle w:val="Firstpagetablebold"/>
                <w:rFonts w:cs="Arial"/>
                <w:sz w:val="22"/>
                <w:szCs w:val="22"/>
              </w:rPr>
            </w:pPr>
            <w:r w:rsidRPr="00387207">
              <w:rPr>
                <w:rStyle w:val="Firstpagetablebold"/>
                <w:rFonts w:cs="Arial"/>
                <w:sz w:val="22"/>
                <w:szCs w:val="22"/>
              </w:rPr>
              <w:t>Policy Framework:</w:t>
            </w:r>
          </w:p>
        </w:tc>
        <w:tc>
          <w:tcPr>
            <w:tcW w:w="6407" w:type="dxa"/>
            <w:tcBorders>
              <w:top w:val="nil"/>
              <w:left w:val="nil"/>
              <w:bottom w:val="single" w:sz="4" w:space="0" w:color="auto"/>
              <w:right w:val="single" w:sz="8" w:space="0" w:color="000000" w:themeColor="text1"/>
            </w:tcBorders>
            <w:hideMark/>
          </w:tcPr>
          <w:p w14:paraId="34C0B6CF" w14:textId="65CC95E0" w:rsidR="00D5547E" w:rsidRPr="00387207" w:rsidRDefault="0041611D" w:rsidP="005D6343">
            <w:pPr>
              <w:rPr>
                <w:rFonts w:cs="Arial"/>
                <w:sz w:val="22"/>
                <w:szCs w:val="22"/>
              </w:rPr>
            </w:pPr>
            <w:r w:rsidRPr="00387207">
              <w:rPr>
                <w:rFonts w:cs="Arial"/>
                <w:sz w:val="22"/>
                <w:szCs w:val="22"/>
              </w:rPr>
              <w:t>Housing</w:t>
            </w:r>
            <w:r w:rsidR="005D6343" w:rsidRPr="00387207">
              <w:rPr>
                <w:rFonts w:cs="Arial"/>
                <w:sz w:val="22"/>
                <w:szCs w:val="22"/>
              </w:rPr>
              <w:t>,</w:t>
            </w:r>
            <w:r w:rsidRPr="00387207">
              <w:rPr>
                <w:rFonts w:cs="Arial"/>
                <w:sz w:val="22"/>
                <w:szCs w:val="22"/>
              </w:rPr>
              <w:t xml:space="preserve"> Homelessness</w:t>
            </w:r>
            <w:r w:rsidR="005D6343" w:rsidRPr="00387207">
              <w:rPr>
                <w:rFonts w:cs="Arial"/>
                <w:sz w:val="22"/>
                <w:szCs w:val="22"/>
              </w:rPr>
              <w:t xml:space="preserve"> and Rough Sleeping </w:t>
            </w:r>
            <w:r w:rsidRPr="00387207">
              <w:rPr>
                <w:rFonts w:cs="Arial"/>
                <w:sz w:val="22"/>
                <w:szCs w:val="22"/>
              </w:rPr>
              <w:t xml:space="preserve">Strategy </w:t>
            </w:r>
            <w:r w:rsidR="005D6343" w:rsidRPr="00387207">
              <w:rPr>
                <w:rFonts w:cs="Arial"/>
                <w:sz w:val="22"/>
                <w:szCs w:val="22"/>
              </w:rPr>
              <w:t xml:space="preserve">2023 </w:t>
            </w:r>
            <w:r w:rsidR="00015399" w:rsidRPr="00387207">
              <w:rPr>
                <w:rFonts w:cs="Arial"/>
                <w:sz w:val="22"/>
                <w:szCs w:val="22"/>
              </w:rPr>
              <w:t>–</w:t>
            </w:r>
            <w:r w:rsidR="005D6343" w:rsidRPr="00387207">
              <w:rPr>
                <w:rFonts w:cs="Arial"/>
                <w:sz w:val="22"/>
                <w:szCs w:val="22"/>
              </w:rPr>
              <w:t xml:space="preserve"> 2028</w:t>
            </w:r>
          </w:p>
        </w:tc>
      </w:tr>
    </w:tbl>
    <w:p w14:paraId="34C0B6D1" w14:textId="77777777" w:rsidR="00CE544A" w:rsidRPr="00387207" w:rsidRDefault="00CE544A" w:rsidP="004A6D2F">
      <w:pPr>
        <w:rPr>
          <w:rFonts w:cs="Arial"/>
          <w:sz w:val="22"/>
          <w:szCs w:val="22"/>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8419"/>
      </w:tblGrid>
      <w:tr w:rsidR="0097170F" w:rsidRPr="00387207" w14:paraId="34C0B6D3" w14:textId="77777777" w:rsidTr="3C3118B2">
        <w:trPr>
          <w:trHeight w:val="413"/>
        </w:trPr>
        <w:tc>
          <w:tcPr>
            <w:tcW w:w="8845" w:type="dxa"/>
            <w:gridSpan w:val="2"/>
            <w:tcBorders>
              <w:bottom w:val="single" w:sz="8" w:space="0" w:color="000000" w:themeColor="text1"/>
            </w:tcBorders>
          </w:tcPr>
          <w:p w14:paraId="34C0B6D2" w14:textId="1907864F" w:rsidR="0097170F" w:rsidRPr="00387207" w:rsidRDefault="0097170F" w:rsidP="005E5623">
            <w:pPr>
              <w:rPr>
                <w:rFonts w:cs="Arial"/>
                <w:sz w:val="22"/>
                <w:szCs w:val="22"/>
              </w:rPr>
            </w:pPr>
            <w:r w:rsidRPr="00387207">
              <w:rPr>
                <w:rStyle w:val="Firstpagetablebold"/>
                <w:rFonts w:cs="Arial"/>
                <w:sz w:val="22"/>
                <w:szCs w:val="22"/>
              </w:rPr>
              <w:t>Recommendation(s):</w:t>
            </w:r>
            <w:r w:rsidR="00C709A0">
              <w:rPr>
                <w:rStyle w:val="Firstpagetablebold"/>
                <w:rFonts w:cs="Arial"/>
                <w:sz w:val="22"/>
                <w:szCs w:val="22"/>
              </w:rPr>
              <w:t xml:space="preserve"> </w:t>
            </w:r>
            <w:r w:rsidRPr="00387207">
              <w:rPr>
                <w:rStyle w:val="Firstpagetablebold"/>
                <w:rFonts w:cs="Arial"/>
                <w:b w:val="0"/>
                <w:sz w:val="22"/>
                <w:szCs w:val="22"/>
              </w:rPr>
              <w:t>That Cabinet resolves to:</w:t>
            </w:r>
          </w:p>
        </w:tc>
      </w:tr>
      <w:tr w:rsidR="0097170F" w:rsidRPr="00387207" w14:paraId="34C0B6D6" w14:textId="77777777" w:rsidTr="3C3118B2">
        <w:trPr>
          <w:trHeight w:val="283"/>
        </w:trPr>
        <w:tc>
          <w:tcPr>
            <w:tcW w:w="426" w:type="dxa"/>
            <w:tcBorders>
              <w:top w:val="single" w:sz="8" w:space="0" w:color="000000" w:themeColor="text1"/>
              <w:left w:val="single" w:sz="8" w:space="0" w:color="000000" w:themeColor="text1"/>
              <w:bottom w:val="nil"/>
              <w:right w:val="nil"/>
            </w:tcBorders>
          </w:tcPr>
          <w:p w14:paraId="34C0B6D4" w14:textId="77777777" w:rsidR="0097170F" w:rsidRPr="00387207" w:rsidRDefault="0097170F" w:rsidP="005E5623">
            <w:pPr>
              <w:rPr>
                <w:rFonts w:cs="Arial"/>
                <w:sz w:val="22"/>
                <w:szCs w:val="22"/>
              </w:rPr>
            </w:pPr>
            <w:r w:rsidRPr="00387207">
              <w:rPr>
                <w:rFonts w:cs="Arial"/>
                <w:sz w:val="22"/>
                <w:szCs w:val="22"/>
              </w:rPr>
              <w:t>1.</w:t>
            </w:r>
          </w:p>
        </w:tc>
        <w:tc>
          <w:tcPr>
            <w:tcW w:w="8419" w:type="dxa"/>
            <w:tcBorders>
              <w:top w:val="single" w:sz="8" w:space="0" w:color="000000" w:themeColor="text1"/>
              <w:left w:val="nil"/>
              <w:bottom w:val="nil"/>
              <w:right w:val="single" w:sz="8" w:space="0" w:color="000000" w:themeColor="text1"/>
            </w:tcBorders>
            <w:shd w:val="clear" w:color="auto" w:fill="auto"/>
          </w:tcPr>
          <w:p w14:paraId="34C0B6D5" w14:textId="724D127B" w:rsidR="0041611D" w:rsidRPr="00387207" w:rsidRDefault="6972E5D6" w:rsidP="00474B35">
            <w:pPr>
              <w:rPr>
                <w:rFonts w:cs="Arial"/>
                <w:sz w:val="22"/>
                <w:szCs w:val="22"/>
              </w:rPr>
            </w:pPr>
            <w:r w:rsidRPr="00387207">
              <w:rPr>
                <w:rFonts w:cs="Arial"/>
                <w:b/>
                <w:bCs/>
                <w:sz w:val="22"/>
                <w:szCs w:val="22"/>
              </w:rPr>
              <w:t>Approve</w:t>
            </w:r>
            <w:r w:rsidRPr="00387207">
              <w:rPr>
                <w:rFonts w:cs="Arial"/>
                <w:sz w:val="22"/>
                <w:szCs w:val="22"/>
              </w:rPr>
              <w:t xml:space="preserve"> the Council becoming part of the Local Authority Housing Fund Round </w:t>
            </w:r>
            <w:r w:rsidR="00D62F25" w:rsidRPr="00387207">
              <w:rPr>
                <w:rFonts w:cs="Arial"/>
                <w:sz w:val="22"/>
                <w:szCs w:val="22"/>
              </w:rPr>
              <w:t>3</w:t>
            </w:r>
            <w:r w:rsidR="004450DF" w:rsidRPr="00387207">
              <w:rPr>
                <w:rFonts w:cs="Arial"/>
                <w:sz w:val="22"/>
                <w:szCs w:val="22"/>
              </w:rPr>
              <w:t>,</w:t>
            </w:r>
            <w:r w:rsidRPr="00387207">
              <w:rPr>
                <w:rFonts w:cs="Arial"/>
                <w:sz w:val="22"/>
                <w:szCs w:val="22"/>
              </w:rPr>
              <w:t xml:space="preserve"> </w:t>
            </w:r>
            <w:proofErr w:type="gramStart"/>
            <w:r w:rsidRPr="00387207">
              <w:rPr>
                <w:rFonts w:cs="Arial"/>
                <w:sz w:val="22"/>
                <w:szCs w:val="22"/>
              </w:rPr>
              <w:t>in order to</w:t>
            </w:r>
            <w:proofErr w:type="gramEnd"/>
            <w:r w:rsidRPr="00387207">
              <w:rPr>
                <w:rFonts w:cs="Arial"/>
                <w:sz w:val="22"/>
                <w:szCs w:val="22"/>
              </w:rPr>
              <w:t xml:space="preserve"> deliver </w:t>
            </w:r>
            <w:r w:rsidR="00894B49" w:rsidRPr="00387207">
              <w:rPr>
                <w:rFonts w:cs="Arial"/>
                <w:sz w:val="22"/>
                <w:szCs w:val="22"/>
              </w:rPr>
              <w:t>5</w:t>
            </w:r>
            <w:r w:rsidRPr="00387207">
              <w:rPr>
                <w:rFonts w:cs="Arial"/>
                <w:sz w:val="22"/>
                <w:szCs w:val="22"/>
              </w:rPr>
              <w:t xml:space="preserve"> new affordable homes</w:t>
            </w:r>
            <w:r w:rsidR="00C21841">
              <w:rPr>
                <w:rFonts w:cs="Arial"/>
                <w:sz w:val="22"/>
                <w:szCs w:val="22"/>
              </w:rPr>
              <w:t>.</w:t>
            </w:r>
          </w:p>
        </w:tc>
      </w:tr>
      <w:tr w:rsidR="0097170F" w:rsidRPr="00387207" w14:paraId="34C0B6D9" w14:textId="77777777" w:rsidTr="3C3118B2">
        <w:trPr>
          <w:trHeight w:val="283"/>
        </w:trPr>
        <w:tc>
          <w:tcPr>
            <w:tcW w:w="426" w:type="dxa"/>
            <w:tcBorders>
              <w:top w:val="nil"/>
              <w:left w:val="single" w:sz="8" w:space="0" w:color="000000" w:themeColor="text1"/>
              <w:bottom w:val="nil"/>
              <w:right w:val="nil"/>
            </w:tcBorders>
          </w:tcPr>
          <w:p w14:paraId="34C0B6D7" w14:textId="77777777" w:rsidR="0097170F" w:rsidRPr="00387207" w:rsidRDefault="0097170F" w:rsidP="005E5623">
            <w:pPr>
              <w:rPr>
                <w:rFonts w:cs="Arial"/>
                <w:sz w:val="22"/>
                <w:szCs w:val="22"/>
              </w:rPr>
            </w:pPr>
            <w:r w:rsidRPr="00387207">
              <w:rPr>
                <w:rFonts w:cs="Arial"/>
                <w:sz w:val="22"/>
                <w:szCs w:val="22"/>
              </w:rPr>
              <w:t>2.</w:t>
            </w:r>
          </w:p>
        </w:tc>
        <w:tc>
          <w:tcPr>
            <w:tcW w:w="8419" w:type="dxa"/>
            <w:tcBorders>
              <w:top w:val="nil"/>
              <w:left w:val="nil"/>
              <w:bottom w:val="nil"/>
              <w:right w:val="single" w:sz="8" w:space="0" w:color="000000" w:themeColor="text1"/>
            </w:tcBorders>
            <w:shd w:val="clear" w:color="auto" w:fill="auto"/>
          </w:tcPr>
          <w:p w14:paraId="34C0B6D8" w14:textId="4EC5AEA2" w:rsidR="0097170F" w:rsidRPr="00387207" w:rsidRDefault="6A8B5E35" w:rsidP="00114694">
            <w:pPr>
              <w:rPr>
                <w:rFonts w:cs="Arial"/>
                <w:sz w:val="22"/>
                <w:szCs w:val="22"/>
              </w:rPr>
            </w:pPr>
            <w:r w:rsidRPr="00387207">
              <w:rPr>
                <w:rStyle w:val="Firstpagetablebold"/>
                <w:rFonts w:cs="Arial"/>
                <w:sz w:val="22"/>
                <w:szCs w:val="22"/>
              </w:rPr>
              <w:t xml:space="preserve">Recommend </w:t>
            </w:r>
            <w:r w:rsidRPr="00387207">
              <w:rPr>
                <w:rStyle w:val="Firstpagetablebold"/>
                <w:rFonts w:cs="Arial"/>
                <w:b w:val="0"/>
                <w:sz w:val="22"/>
                <w:szCs w:val="22"/>
              </w:rPr>
              <w:t>to Council</w:t>
            </w:r>
            <w:r w:rsidR="00FB64F4" w:rsidRPr="00387207">
              <w:rPr>
                <w:rStyle w:val="Firstpagetablebold"/>
                <w:rFonts w:cs="Arial"/>
                <w:b w:val="0"/>
                <w:sz w:val="22"/>
                <w:szCs w:val="22"/>
              </w:rPr>
              <w:t>,</w:t>
            </w:r>
            <w:r w:rsidRPr="00387207">
              <w:rPr>
                <w:rFonts w:cs="Arial"/>
                <w:sz w:val="22"/>
                <w:szCs w:val="22"/>
              </w:rPr>
              <w:t xml:space="preserve"> the </w:t>
            </w:r>
            <w:r w:rsidR="00560D05">
              <w:rPr>
                <w:rFonts w:cs="Arial"/>
                <w:sz w:val="22"/>
                <w:szCs w:val="22"/>
              </w:rPr>
              <w:t xml:space="preserve">approval of an </w:t>
            </w:r>
            <w:r w:rsidRPr="00387207">
              <w:rPr>
                <w:rFonts w:cs="Arial"/>
                <w:sz w:val="22"/>
                <w:szCs w:val="22"/>
              </w:rPr>
              <w:t>allocation of</w:t>
            </w:r>
            <w:r w:rsidR="00FB64F4" w:rsidRPr="00387207">
              <w:rPr>
                <w:rFonts w:cs="Arial"/>
                <w:sz w:val="22"/>
                <w:szCs w:val="22"/>
              </w:rPr>
              <w:t xml:space="preserve"> </w:t>
            </w:r>
            <w:r w:rsidR="00114694" w:rsidRPr="00387207">
              <w:rPr>
                <w:rFonts w:cs="Arial"/>
                <w:sz w:val="22"/>
                <w:szCs w:val="22"/>
              </w:rPr>
              <w:t>£</w:t>
            </w:r>
            <w:r w:rsidR="00484B50" w:rsidRPr="00387207">
              <w:rPr>
                <w:rFonts w:cs="Arial"/>
                <w:sz w:val="22"/>
                <w:szCs w:val="22"/>
                <w:lang w:eastAsia="en-US"/>
              </w:rPr>
              <w:t>1,</w:t>
            </w:r>
            <w:r w:rsidR="0087464F">
              <w:rPr>
                <w:rFonts w:cs="Arial"/>
                <w:sz w:val="22"/>
                <w:szCs w:val="22"/>
                <w:lang w:eastAsia="en-US"/>
              </w:rPr>
              <w:t>910,000</w:t>
            </w:r>
            <w:r w:rsidR="004450DF" w:rsidRPr="00387207">
              <w:rPr>
                <w:rFonts w:cs="Arial"/>
                <w:sz w:val="22"/>
                <w:szCs w:val="22"/>
                <w:lang w:eastAsia="en-US"/>
              </w:rPr>
              <w:t xml:space="preserve"> </w:t>
            </w:r>
            <w:r w:rsidR="008D6A40" w:rsidRPr="00387207">
              <w:rPr>
                <w:rFonts w:cs="Arial"/>
                <w:sz w:val="22"/>
                <w:szCs w:val="22"/>
              </w:rPr>
              <w:t xml:space="preserve">capital budget </w:t>
            </w:r>
            <w:r w:rsidR="00BC2894" w:rsidRPr="00387207">
              <w:rPr>
                <w:rFonts w:cs="Arial"/>
                <w:sz w:val="22"/>
                <w:szCs w:val="22"/>
              </w:rPr>
              <w:t>from the Housing Revenue</w:t>
            </w:r>
            <w:r w:rsidR="00FB64F4" w:rsidRPr="00387207">
              <w:rPr>
                <w:rFonts w:cs="Arial"/>
                <w:sz w:val="22"/>
                <w:szCs w:val="22"/>
              </w:rPr>
              <w:t xml:space="preserve"> Account, for the Council’s investment to purchase the properties as part </w:t>
            </w:r>
            <w:r w:rsidR="003A3C7E" w:rsidRPr="00387207">
              <w:rPr>
                <w:rFonts w:cs="Arial"/>
                <w:sz w:val="22"/>
                <w:szCs w:val="22"/>
              </w:rPr>
              <w:t>of Local Authority Housing Fund</w:t>
            </w:r>
            <w:r w:rsidR="00D119BA" w:rsidRPr="00387207">
              <w:rPr>
                <w:rFonts w:cs="Arial"/>
                <w:sz w:val="22"/>
                <w:szCs w:val="22"/>
              </w:rPr>
              <w:t xml:space="preserve"> Round </w:t>
            </w:r>
            <w:r w:rsidR="004D6CC8" w:rsidRPr="00387207">
              <w:rPr>
                <w:rFonts w:cs="Arial"/>
                <w:sz w:val="22"/>
                <w:szCs w:val="22"/>
              </w:rPr>
              <w:t>3</w:t>
            </w:r>
            <w:r w:rsidR="00CA5A22" w:rsidRPr="00387207">
              <w:rPr>
                <w:rFonts w:cs="Arial"/>
                <w:sz w:val="22"/>
                <w:szCs w:val="22"/>
              </w:rPr>
              <w:t>, with</w:t>
            </w:r>
            <w:r w:rsidR="0087464F">
              <w:rPr>
                <w:rFonts w:cs="Arial"/>
                <w:sz w:val="22"/>
                <w:szCs w:val="22"/>
              </w:rPr>
              <w:t xml:space="preserve"> up to </w:t>
            </w:r>
            <w:r w:rsidR="00CA5A22" w:rsidRPr="00387207">
              <w:rPr>
                <w:rFonts w:cs="Arial"/>
                <w:sz w:val="22"/>
                <w:szCs w:val="22"/>
              </w:rPr>
              <w:t>£</w:t>
            </w:r>
            <w:r w:rsidR="0087464F">
              <w:rPr>
                <w:rFonts w:cs="Arial"/>
                <w:sz w:val="22"/>
                <w:szCs w:val="22"/>
              </w:rPr>
              <w:t>1,061,000</w:t>
            </w:r>
            <w:r w:rsidR="004450DF" w:rsidRPr="00387207">
              <w:rPr>
                <w:rFonts w:cs="Arial"/>
                <w:sz w:val="22"/>
                <w:szCs w:val="22"/>
              </w:rPr>
              <w:t xml:space="preserve"> </w:t>
            </w:r>
            <w:r w:rsidR="00CA5A22" w:rsidRPr="00387207">
              <w:rPr>
                <w:rFonts w:cs="Arial"/>
                <w:sz w:val="22"/>
                <w:szCs w:val="22"/>
              </w:rPr>
              <w:t>being funded from HRA borrowing, and the rest covered by grant of</w:t>
            </w:r>
            <w:r w:rsidR="0087464F">
              <w:rPr>
                <w:rFonts w:cs="Arial"/>
                <w:sz w:val="22"/>
                <w:szCs w:val="22"/>
              </w:rPr>
              <w:t xml:space="preserve"> up to</w:t>
            </w:r>
            <w:r w:rsidR="00CA5A22" w:rsidRPr="00387207">
              <w:rPr>
                <w:rFonts w:cs="Arial"/>
                <w:sz w:val="22"/>
                <w:szCs w:val="22"/>
              </w:rPr>
              <w:t xml:space="preserve"> </w:t>
            </w:r>
            <w:r w:rsidR="007E1943" w:rsidRPr="00387207">
              <w:rPr>
                <w:rFonts w:cs="Arial"/>
                <w:noProof/>
                <w:sz w:val="22"/>
                <w:szCs w:val="22"/>
                <w:shd w:val="clear" w:color="auto" w:fill="F0F0F0"/>
              </w:rPr>
              <w:t>£</w:t>
            </w:r>
            <w:r w:rsidR="0087464F">
              <w:rPr>
                <w:rFonts w:cs="Arial"/>
                <w:noProof/>
                <w:sz w:val="22"/>
                <w:szCs w:val="22"/>
              </w:rPr>
              <w:t>849</w:t>
            </w:r>
            <w:r w:rsidR="00560D05">
              <w:rPr>
                <w:rFonts w:cs="Arial"/>
                <w:noProof/>
                <w:sz w:val="22"/>
                <w:szCs w:val="22"/>
              </w:rPr>
              <w:t>,</w:t>
            </w:r>
            <w:r w:rsidR="0087464F">
              <w:rPr>
                <w:rFonts w:cs="Arial"/>
                <w:noProof/>
                <w:sz w:val="22"/>
                <w:szCs w:val="22"/>
              </w:rPr>
              <w:t>0</w:t>
            </w:r>
            <w:r w:rsidR="00560D05">
              <w:rPr>
                <w:rFonts w:cs="Arial"/>
                <w:noProof/>
                <w:sz w:val="22"/>
                <w:szCs w:val="22"/>
              </w:rPr>
              <w:t>00</w:t>
            </w:r>
            <w:r w:rsidR="00CA5A22" w:rsidRPr="00387207">
              <w:rPr>
                <w:rFonts w:cs="Arial"/>
                <w:sz w:val="22"/>
                <w:szCs w:val="22"/>
              </w:rPr>
              <w:t xml:space="preserve">. </w:t>
            </w:r>
          </w:p>
        </w:tc>
      </w:tr>
      <w:tr w:rsidR="0097170F" w:rsidRPr="00387207" w14:paraId="34C0B6DC" w14:textId="77777777" w:rsidTr="3C3118B2">
        <w:trPr>
          <w:trHeight w:val="283"/>
        </w:trPr>
        <w:tc>
          <w:tcPr>
            <w:tcW w:w="426" w:type="dxa"/>
            <w:tcBorders>
              <w:top w:val="nil"/>
              <w:left w:val="single" w:sz="8" w:space="0" w:color="000000" w:themeColor="text1"/>
              <w:bottom w:val="single" w:sz="4" w:space="0" w:color="auto"/>
              <w:right w:val="nil"/>
            </w:tcBorders>
          </w:tcPr>
          <w:p w14:paraId="34C0B6DA" w14:textId="77777777" w:rsidR="0097170F" w:rsidRPr="00387207" w:rsidRDefault="0097170F" w:rsidP="005E5623">
            <w:pPr>
              <w:rPr>
                <w:rFonts w:cs="Arial"/>
                <w:sz w:val="22"/>
                <w:szCs w:val="22"/>
              </w:rPr>
            </w:pPr>
            <w:r w:rsidRPr="00387207">
              <w:rPr>
                <w:rFonts w:cs="Arial"/>
                <w:sz w:val="22"/>
                <w:szCs w:val="22"/>
              </w:rPr>
              <w:t>3.</w:t>
            </w:r>
          </w:p>
        </w:tc>
        <w:tc>
          <w:tcPr>
            <w:tcW w:w="8419" w:type="dxa"/>
            <w:tcBorders>
              <w:top w:val="nil"/>
              <w:left w:val="nil"/>
              <w:bottom w:val="single" w:sz="4" w:space="0" w:color="auto"/>
              <w:right w:val="single" w:sz="8" w:space="0" w:color="000000" w:themeColor="text1"/>
            </w:tcBorders>
            <w:shd w:val="clear" w:color="auto" w:fill="auto"/>
          </w:tcPr>
          <w:p w14:paraId="34C0B6DB" w14:textId="24231E45" w:rsidR="0097170F" w:rsidRPr="00387207" w:rsidRDefault="007B76A6" w:rsidP="007B76A6">
            <w:pPr>
              <w:rPr>
                <w:rFonts w:cs="Arial"/>
                <w:sz w:val="22"/>
                <w:szCs w:val="22"/>
              </w:rPr>
            </w:pPr>
            <w:r w:rsidRPr="00387207">
              <w:rPr>
                <w:rFonts w:cs="Arial"/>
                <w:b/>
                <w:bCs/>
                <w:sz w:val="22"/>
                <w:szCs w:val="22"/>
              </w:rPr>
              <w:t xml:space="preserve">Delegate </w:t>
            </w:r>
            <w:r w:rsidRPr="00387207">
              <w:rPr>
                <w:rFonts w:cs="Arial"/>
                <w:sz w:val="22"/>
                <w:szCs w:val="22"/>
              </w:rPr>
              <w:t xml:space="preserve">authority to the </w:t>
            </w:r>
            <w:r w:rsidR="02251446" w:rsidRPr="00387207">
              <w:rPr>
                <w:rFonts w:cs="Arial"/>
                <w:sz w:val="22"/>
                <w:szCs w:val="22"/>
              </w:rPr>
              <w:t xml:space="preserve">Interim </w:t>
            </w:r>
            <w:r w:rsidRPr="00387207">
              <w:rPr>
                <w:rFonts w:cs="Arial"/>
                <w:sz w:val="22"/>
                <w:szCs w:val="22"/>
              </w:rPr>
              <w:t>Executive Director (Communities and People) in consultation with; the Cabinet Member for Housing; the Head of Financial Services/Section 151 Officer; and the Head of Law and Governance/Monitoring Officer, to enter into agreements and contracts to facilitate the purchase by the Council of housing (to be held in the HRA) within the identified budget and within the project approval</w:t>
            </w:r>
            <w:r w:rsidR="00C21841">
              <w:rPr>
                <w:rFonts w:cs="Arial"/>
                <w:sz w:val="22"/>
                <w:szCs w:val="22"/>
              </w:rPr>
              <w:t>.</w:t>
            </w:r>
          </w:p>
        </w:tc>
      </w:tr>
    </w:tbl>
    <w:p w14:paraId="2CBAB225" w14:textId="77777777" w:rsidR="00782320" w:rsidRPr="00387207" w:rsidRDefault="00782320" w:rsidP="004A6D2F">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387207" w14:paraId="34C0B6E5" w14:textId="77777777" w:rsidTr="017823C5">
        <w:tc>
          <w:tcPr>
            <w:tcW w:w="8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4C0B6E4" w14:textId="77777777" w:rsidR="00966D42" w:rsidRPr="00387207" w:rsidRDefault="00966D42" w:rsidP="00263EA3">
            <w:pPr>
              <w:jc w:val="center"/>
              <w:rPr>
                <w:rFonts w:cs="Arial"/>
                <w:sz w:val="22"/>
                <w:szCs w:val="22"/>
              </w:rPr>
            </w:pPr>
            <w:r w:rsidRPr="00387207">
              <w:rPr>
                <w:rStyle w:val="Firstpagetablebold"/>
                <w:rFonts w:cs="Arial"/>
                <w:sz w:val="22"/>
                <w:szCs w:val="22"/>
              </w:rPr>
              <w:t>Appendices</w:t>
            </w:r>
          </w:p>
        </w:tc>
      </w:tr>
      <w:tr w:rsidR="00ED5860" w:rsidRPr="00387207" w14:paraId="34C0B6E8" w14:textId="77777777" w:rsidTr="017823C5">
        <w:tc>
          <w:tcPr>
            <w:tcW w:w="2438" w:type="dxa"/>
            <w:tcBorders>
              <w:top w:val="single" w:sz="8" w:space="0" w:color="000000" w:themeColor="text1"/>
              <w:left w:val="single" w:sz="8" w:space="0" w:color="000000" w:themeColor="text1"/>
              <w:bottom w:val="nil"/>
              <w:right w:val="nil"/>
            </w:tcBorders>
            <w:shd w:val="clear" w:color="auto" w:fill="auto"/>
          </w:tcPr>
          <w:p w14:paraId="34C0B6E6" w14:textId="77777777" w:rsidR="00ED5860" w:rsidRPr="00387207" w:rsidRDefault="00ED5860" w:rsidP="004A6D2F">
            <w:pPr>
              <w:rPr>
                <w:rFonts w:cs="Arial"/>
                <w:sz w:val="22"/>
                <w:szCs w:val="22"/>
              </w:rPr>
            </w:pPr>
            <w:r w:rsidRPr="00387207">
              <w:rPr>
                <w:rFonts w:cs="Arial"/>
                <w:sz w:val="22"/>
                <w:szCs w:val="22"/>
              </w:rPr>
              <w:t>Appendix 1</w:t>
            </w:r>
          </w:p>
        </w:tc>
        <w:tc>
          <w:tcPr>
            <w:tcW w:w="6406" w:type="dxa"/>
            <w:tcBorders>
              <w:top w:val="single" w:sz="8" w:space="0" w:color="000000" w:themeColor="text1"/>
              <w:left w:val="nil"/>
              <w:bottom w:val="nil"/>
              <w:right w:val="single" w:sz="8" w:space="0" w:color="000000" w:themeColor="text1"/>
            </w:tcBorders>
          </w:tcPr>
          <w:p w14:paraId="34C0B6E7" w14:textId="2FB0C0A6" w:rsidR="00ED5860" w:rsidRPr="00387207" w:rsidRDefault="00F01BB0" w:rsidP="004A6D2F">
            <w:pPr>
              <w:rPr>
                <w:rFonts w:cs="Arial"/>
                <w:sz w:val="22"/>
                <w:szCs w:val="22"/>
              </w:rPr>
            </w:pPr>
            <w:r w:rsidRPr="00387207">
              <w:rPr>
                <w:rFonts w:cs="Arial"/>
                <w:sz w:val="22"/>
                <w:szCs w:val="22"/>
              </w:rPr>
              <w:t>Local Housing Authority Fund</w:t>
            </w:r>
            <w:r w:rsidR="008F39EA" w:rsidRPr="00387207">
              <w:rPr>
                <w:rFonts w:cs="Arial"/>
                <w:sz w:val="22"/>
                <w:szCs w:val="22"/>
              </w:rPr>
              <w:t>:</w:t>
            </w:r>
            <w:r w:rsidR="00D119BA" w:rsidRPr="00387207">
              <w:rPr>
                <w:rFonts w:cs="Arial"/>
                <w:sz w:val="22"/>
                <w:szCs w:val="22"/>
              </w:rPr>
              <w:t xml:space="preserve"> R</w:t>
            </w:r>
            <w:r w:rsidR="008F39EA" w:rsidRPr="00387207">
              <w:rPr>
                <w:rFonts w:cs="Arial"/>
                <w:sz w:val="22"/>
                <w:szCs w:val="22"/>
              </w:rPr>
              <w:t xml:space="preserve">ound </w:t>
            </w:r>
            <w:r w:rsidR="00484B50" w:rsidRPr="00387207">
              <w:rPr>
                <w:rFonts w:cs="Arial"/>
                <w:sz w:val="22"/>
                <w:szCs w:val="22"/>
              </w:rPr>
              <w:t>3</w:t>
            </w:r>
            <w:r w:rsidRPr="00387207">
              <w:rPr>
                <w:rFonts w:cs="Arial"/>
                <w:sz w:val="22"/>
                <w:szCs w:val="22"/>
              </w:rPr>
              <w:t xml:space="preserve"> Prospectus and Guidance</w:t>
            </w:r>
          </w:p>
        </w:tc>
      </w:tr>
      <w:tr w:rsidR="00ED5860" w:rsidRPr="00387207" w14:paraId="34C0B6EB" w14:textId="77777777" w:rsidTr="017823C5">
        <w:tc>
          <w:tcPr>
            <w:tcW w:w="2438" w:type="dxa"/>
            <w:tcBorders>
              <w:top w:val="nil"/>
              <w:left w:val="single" w:sz="8" w:space="0" w:color="000000" w:themeColor="text1"/>
              <w:bottom w:val="nil"/>
              <w:right w:val="nil"/>
            </w:tcBorders>
            <w:shd w:val="clear" w:color="auto" w:fill="auto"/>
          </w:tcPr>
          <w:p w14:paraId="34C0B6E9" w14:textId="77777777" w:rsidR="00ED5860" w:rsidRPr="00387207" w:rsidRDefault="0030208D" w:rsidP="004A6D2F">
            <w:pPr>
              <w:rPr>
                <w:rFonts w:cs="Arial"/>
                <w:sz w:val="22"/>
                <w:szCs w:val="22"/>
              </w:rPr>
            </w:pPr>
            <w:r w:rsidRPr="00387207">
              <w:rPr>
                <w:rFonts w:cs="Arial"/>
                <w:sz w:val="22"/>
                <w:szCs w:val="22"/>
              </w:rPr>
              <w:t>Appendix 2</w:t>
            </w:r>
          </w:p>
        </w:tc>
        <w:tc>
          <w:tcPr>
            <w:tcW w:w="6406" w:type="dxa"/>
            <w:tcBorders>
              <w:top w:val="nil"/>
              <w:left w:val="nil"/>
              <w:bottom w:val="nil"/>
              <w:right w:val="single" w:sz="8" w:space="0" w:color="000000" w:themeColor="text1"/>
            </w:tcBorders>
          </w:tcPr>
          <w:p w14:paraId="34C0B6EA" w14:textId="64B00DDC" w:rsidR="00ED5860" w:rsidRPr="00387207" w:rsidRDefault="008164F7" w:rsidP="004A6D2F">
            <w:pPr>
              <w:rPr>
                <w:rFonts w:cs="Arial"/>
                <w:sz w:val="22"/>
                <w:szCs w:val="22"/>
              </w:rPr>
            </w:pPr>
            <w:r w:rsidRPr="00387207">
              <w:rPr>
                <w:rFonts w:cs="Arial"/>
                <w:sz w:val="22"/>
                <w:szCs w:val="22"/>
              </w:rPr>
              <w:t>Risk Register</w:t>
            </w:r>
          </w:p>
        </w:tc>
      </w:tr>
      <w:tr w:rsidR="0030208D" w:rsidRPr="00387207" w14:paraId="34C0B6EE" w14:textId="77777777" w:rsidTr="00782320">
        <w:tc>
          <w:tcPr>
            <w:tcW w:w="2438" w:type="dxa"/>
            <w:tcBorders>
              <w:top w:val="nil"/>
              <w:left w:val="single" w:sz="8" w:space="0" w:color="000000" w:themeColor="text1"/>
              <w:bottom w:val="single" w:sz="4" w:space="0" w:color="000000" w:themeColor="text1"/>
              <w:right w:val="nil"/>
            </w:tcBorders>
            <w:shd w:val="clear" w:color="auto" w:fill="auto"/>
          </w:tcPr>
          <w:p w14:paraId="34C0B6EC" w14:textId="77777777" w:rsidR="0030208D" w:rsidRPr="00387207" w:rsidRDefault="0030208D" w:rsidP="004A6D2F">
            <w:pPr>
              <w:rPr>
                <w:rFonts w:cs="Arial"/>
                <w:sz w:val="22"/>
                <w:szCs w:val="22"/>
              </w:rPr>
            </w:pPr>
            <w:r w:rsidRPr="00387207">
              <w:rPr>
                <w:rFonts w:cs="Arial"/>
                <w:sz w:val="22"/>
                <w:szCs w:val="22"/>
              </w:rPr>
              <w:t>Appendix 3</w:t>
            </w:r>
          </w:p>
        </w:tc>
        <w:tc>
          <w:tcPr>
            <w:tcW w:w="6406" w:type="dxa"/>
            <w:tcBorders>
              <w:top w:val="nil"/>
              <w:left w:val="nil"/>
              <w:bottom w:val="single" w:sz="4" w:space="0" w:color="000000" w:themeColor="text1"/>
              <w:right w:val="single" w:sz="8" w:space="0" w:color="000000" w:themeColor="text1"/>
            </w:tcBorders>
          </w:tcPr>
          <w:p w14:paraId="34C0B6ED" w14:textId="594F0DB9" w:rsidR="0030208D" w:rsidRPr="00387207" w:rsidRDefault="669C7D1A" w:rsidP="006D2858">
            <w:pPr>
              <w:spacing w:line="259" w:lineRule="auto"/>
              <w:rPr>
                <w:rFonts w:cs="Arial"/>
                <w:sz w:val="22"/>
                <w:szCs w:val="22"/>
              </w:rPr>
            </w:pPr>
            <w:r w:rsidRPr="00387207">
              <w:rPr>
                <w:rFonts w:cs="Arial"/>
                <w:sz w:val="22"/>
                <w:szCs w:val="22"/>
              </w:rPr>
              <w:t>Memorandum o</w:t>
            </w:r>
            <w:r w:rsidR="006D2858" w:rsidRPr="00387207">
              <w:rPr>
                <w:rFonts w:cs="Arial"/>
                <w:sz w:val="22"/>
                <w:szCs w:val="22"/>
              </w:rPr>
              <w:t>f Understanding – NOT FOR PUBLICATION</w:t>
            </w:r>
          </w:p>
        </w:tc>
      </w:tr>
    </w:tbl>
    <w:p w14:paraId="73A7597B" w14:textId="77777777" w:rsidR="00DA3E7F" w:rsidRPr="00387207" w:rsidRDefault="00DA3E7F" w:rsidP="004A6D2F">
      <w:pPr>
        <w:pStyle w:val="Heading1"/>
        <w:rPr>
          <w:rFonts w:cs="Arial"/>
          <w:sz w:val="22"/>
          <w:szCs w:val="22"/>
          <w:highlight w:val="yellow"/>
        </w:rPr>
      </w:pPr>
    </w:p>
    <w:p w14:paraId="34C0B6F2" w14:textId="415E0F1B" w:rsidR="0040736F" w:rsidRPr="00387207" w:rsidRDefault="00F66DCA" w:rsidP="004A6D2F">
      <w:pPr>
        <w:pStyle w:val="Heading1"/>
        <w:rPr>
          <w:rFonts w:cs="Arial"/>
          <w:sz w:val="22"/>
          <w:szCs w:val="22"/>
        </w:rPr>
      </w:pPr>
      <w:r w:rsidRPr="00387207">
        <w:rPr>
          <w:rFonts w:cs="Arial"/>
          <w:sz w:val="22"/>
          <w:szCs w:val="22"/>
        </w:rPr>
        <w:t xml:space="preserve">Introduction </w:t>
      </w:r>
    </w:p>
    <w:p w14:paraId="216E9875" w14:textId="4085DDD7" w:rsidR="000D116A" w:rsidRPr="00387207" w:rsidRDefault="594E39A3" w:rsidP="3D9290ED">
      <w:pPr>
        <w:pStyle w:val="ListParagraph"/>
        <w:rPr>
          <w:rFonts w:cs="Arial"/>
          <w:sz w:val="22"/>
          <w:szCs w:val="22"/>
        </w:rPr>
      </w:pPr>
      <w:r w:rsidRPr="00387207">
        <w:rPr>
          <w:rFonts w:cs="Arial"/>
          <w:sz w:val="22"/>
          <w:szCs w:val="22"/>
        </w:rPr>
        <w:t xml:space="preserve">The </w:t>
      </w:r>
      <w:r w:rsidR="44B48454" w:rsidRPr="00387207">
        <w:rPr>
          <w:rFonts w:cs="Arial"/>
          <w:sz w:val="22"/>
          <w:szCs w:val="22"/>
        </w:rPr>
        <w:t>Ministry of Housing, Communities and Local Government</w:t>
      </w:r>
      <w:r w:rsidR="4BCC3D68" w:rsidRPr="00387207">
        <w:rPr>
          <w:rFonts w:cs="Arial"/>
          <w:sz w:val="22"/>
          <w:szCs w:val="22"/>
        </w:rPr>
        <w:t xml:space="preserve"> </w:t>
      </w:r>
      <w:r w:rsidR="4BCC3D68" w:rsidRPr="00387207">
        <w:rPr>
          <w:rFonts w:cs="Arial"/>
          <w:color w:val="auto"/>
          <w:sz w:val="22"/>
          <w:szCs w:val="22"/>
          <w:shd w:val="clear" w:color="auto" w:fill="FFFFFF"/>
        </w:rPr>
        <w:t>(</w:t>
      </w:r>
      <w:r w:rsidR="77A9B8CE" w:rsidRPr="00387207">
        <w:rPr>
          <w:rFonts w:cs="Arial"/>
          <w:color w:val="auto"/>
          <w:sz w:val="22"/>
          <w:szCs w:val="22"/>
          <w:shd w:val="clear" w:color="auto" w:fill="FFFFFF"/>
        </w:rPr>
        <w:t>MHCLG</w:t>
      </w:r>
      <w:r w:rsidR="4BCC3D68" w:rsidRPr="00387207">
        <w:rPr>
          <w:rFonts w:cs="Arial"/>
          <w:color w:val="auto"/>
          <w:sz w:val="22"/>
          <w:szCs w:val="22"/>
          <w:shd w:val="clear" w:color="auto" w:fill="FFFFFF"/>
        </w:rPr>
        <w:t>)</w:t>
      </w:r>
      <w:r w:rsidRPr="00387207">
        <w:rPr>
          <w:rFonts w:cs="Arial"/>
          <w:sz w:val="22"/>
          <w:szCs w:val="22"/>
        </w:rPr>
        <w:t xml:space="preserve"> have </w:t>
      </w:r>
      <w:r w:rsidR="1E6F136D" w:rsidRPr="00387207">
        <w:rPr>
          <w:rFonts w:cs="Arial"/>
          <w:sz w:val="22"/>
          <w:szCs w:val="22"/>
        </w:rPr>
        <w:t>launched a national £</w:t>
      </w:r>
      <w:r w:rsidR="52ABC85D" w:rsidRPr="00387207">
        <w:rPr>
          <w:rFonts w:cs="Arial"/>
          <w:sz w:val="22"/>
          <w:szCs w:val="22"/>
        </w:rPr>
        <w:t>450</w:t>
      </w:r>
      <w:r w:rsidR="1E6F136D" w:rsidRPr="00387207">
        <w:rPr>
          <w:rFonts w:cs="Arial"/>
          <w:sz w:val="22"/>
          <w:szCs w:val="22"/>
        </w:rPr>
        <w:t xml:space="preserve">m Local Authority Housing Fund </w:t>
      </w:r>
      <w:r w:rsidR="2F822526" w:rsidRPr="00387207">
        <w:rPr>
          <w:rFonts w:cs="Arial"/>
          <w:sz w:val="22"/>
          <w:szCs w:val="22"/>
        </w:rPr>
        <w:t xml:space="preserve">- </w:t>
      </w:r>
      <w:r w:rsidR="1E6F136D" w:rsidRPr="00387207">
        <w:rPr>
          <w:rFonts w:cs="Arial"/>
          <w:sz w:val="22"/>
          <w:szCs w:val="22"/>
        </w:rPr>
        <w:t xml:space="preserve">Round </w:t>
      </w:r>
      <w:r w:rsidR="52ABC85D" w:rsidRPr="00387207">
        <w:rPr>
          <w:rFonts w:cs="Arial"/>
          <w:sz w:val="22"/>
          <w:szCs w:val="22"/>
        </w:rPr>
        <w:t>3</w:t>
      </w:r>
      <w:r w:rsidR="1E6F136D" w:rsidRPr="00387207">
        <w:rPr>
          <w:rFonts w:cs="Arial"/>
          <w:sz w:val="22"/>
          <w:szCs w:val="22"/>
        </w:rPr>
        <w:t xml:space="preserve"> (LAHF </w:t>
      </w:r>
      <w:r w:rsidR="13A26CC8" w:rsidRPr="00387207">
        <w:rPr>
          <w:rFonts w:cs="Arial"/>
          <w:sz w:val="22"/>
          <w:szCs w:val="22"/>
        </w:rPr>
        <w:t>R</w:t>
      </w:r>
      <w:r w:rsidR="40496AD1" w:rsidRPr="00387207">
        <w:rPr>
          <w:rFonts w:cs="Arial"/>
          <w:sz w:val="22"/>
          <w:szCs w:val="22"/>
        </w:rPr>
        <w:t>3</w:t>
      </w:r>
      <w:r w:rsidR="1E6F136D" w:rsidRPr="00387207">
        <w:rPr>
          <w:rFonts w:cs="Arial"/>
          <w:sz w:val="22"/>
          <w:szCs w:val="22"/>
        </w:rPr>
        <w:t>)</w:t>
      </w:r>
      <w:r w:rsidRPr="00387207">
        <w:rPr>
          <w:rFonts w:cs="Arial"/>
          <w:sz w:val="22"/>
          <w:szCs w:val="22"/>
        </w:rPr>
        <w:t xml:space="preserve">, to support local authorities </w:t>
      </w:r>
      <w:r w:rsidR="4B9D9D76" w:rsidRPr="00387207">
        <w:rPr>
          <w:rFonts w:cs="Arial"/>
          <w:sz w:val="22"/>
          <w:szCs w:val="22"/>
        </w:rPr>
        <w:t xml:space="preserve">to increase the supply of good quality temporary accommodation to reduce homelessness pressures </w:t>
      </w:r>
      <w:r w:rsidR="003226EB" w:rsidRPr="00387207">
        <w:rPr>
          <w:rFonts w:cs="Arial"/>
          <w:sz w:val="22"/>
          <w:szCs w:val="22"/>
        </w:rPr>
        <w:t>and</w:t>
      </w:r>
      <w:r w:rsidR="4B9D9D76" w:rsidRPr="00387207">
        <w:rPr>
          <w:rFonts w:cs="Arial"/>
          <w:sz w:val="22"/>
          <w:szCs w:val="22"/>
        </w:rPr>
        <w:t xml:space="preserve"> provide</w:t>
      </w:r>
      <w:r w:rsidRPr="00387207">
        <w:rPr>
          <w:rFonts w:cs="Arial"/>
          <w:sz w:val="22"/>
          <w:szCs w:val="22"/>
        </w:rPr>
        <w:t xml:space="preserve"> accommodation </w:t>
      </w:r>
      <w:r w:rsidR="5EA1D515" w:rsidRPr="00387207">
        <w:rPr>
          <w:rFonts w:cs="Arial"/>
          <w:sz w:val="22"/>
          <w:szCs w:val="22"/>
        </w:rPr>
        <w:t>to Afghan families</w:t>
      </w:r>
      <w:r w:rsidRPr="00387207">
        <w:rPr>
          <w:rFonts w:cs="Arial"/>
          <w:sz w:val="22"/>
          <w:szCs w:val="22"/>
        </w:rPr>
        <w:t xml:space="preserve"> settl</w:t>
      </w:r>
      <w:r w:rsidR="7FBAF747" w:rsidRPr="00387207">
        <w:rPr>
          <w:rFonts w:cs="Arial"/>
          <w:sz w:val="22"/>
          <w:szCs w:val="22"/>
        </w:rPr>
        <w:t>ing</w:t>
      </w:r>
      <w:r w:rsidRPr="00387207">
        <w:rPr>
          <w:rFonts w:cs="Arial"/>
          <w:sz w:val="22"/>
          <w:szCs w:val="22"/>
        </w:rPr>
        <w:t xml:space="preserve"> in the UK legally under </w:t>
      </w:r>
      <w:r w:rsidR="63CF6A59" w:rsidRPr="00387207">
        <w:rPr>
          <w:rFonts w:cs="Arial"/>
          <w:sz w:val="22"/>
          <w:szCs w:val="22"/>
        </w:rPr>
        <w:t>the government resettlement scheme</w:t>
      </w:r>
      <w:r w:rsidRPr="00387207">
        <w:rPr>
          <w:rFonts w:cs="Arial"/>
          <w:sz w:val="22"/>
          <w:szCs w:val="22"/>
        </w:rPr>
        <w:t xml:space="preserve"> following t</w:t>
      </w:r>
      <w:r w:rsidR="1E6F136D" w:rsidRPr="00387207">
        <w:rPr>
          <w:rFonts w:cs="Arial"/>
          <w:sz w:val="22"/>
          <w:szCs w:val="22"/>
        </w:rPr>
        <w:t xml:space="preserve">he </w:t>
      </w:r>
      <w:r w:rsidR="1B09826C" w:rsidRPr="00387207">
        <w:rPr>
          <w:rFonts w:cs="Arial"/>
          <w:sz w:val="22"/>
          <w:szCs w:val="22"/>
        </w:rPr>
        <w:t>Taliban takeover</w:t>
      </w:r>
      <w:r w:rsidR="1F9A8874" w:rsidRPr="00387207">
        <w:rPr>
          <w:rFonts w:cs="Arial"/>
          <w:sz w:val="22"/>
          <w:szCs w:val="22"/>
        </w:rPr>
        <w:t xml:space="preserve"> of </w:t>
      </w:r>
      <w:r w:rsidR="5EA1D515" w:rsidRPr="00387207">
        <w:rPr>
          <w:rFonts w:cs="Arial"/>
          <w:sz w:val="22"/>
          <w:szCs w:val="22"/>
        </w:rPr>
        <w:t>Afghanistan</w:t>
      </w:r>
      <w:r w:rsidR="2F822526" w:rsidRPr="00387207">
        <w:rPr>
          <w:rFonts w:cs="Arial"/>
          <w:sz w:val="22"/>
          <w:szCs w:val="22"/>
        </w:rPr>
        <w:t>.</w:t>
      </w:r>
    </w:p>
    <w:p w14:paraId="7CF35405" w14:textId="02993213" w:rsidR="000E79ED" w:rsidRPr="00387207" w:rsidRDefault="00C47B9A" w:rsidP="00C47B9A">
      <w:pPr>
        <w:pStyle w:val="ListParagraph"/>
        <w:rPr>
          <w:rFonts w:cs="Arial"/>
          <w:sz w:val="22"/>
          <w:szCs w:val="22"/>
        </w:rPr>
      </w:pPr>
      <w:r w:rsidRPr="00387207">
        <w:rPr>
          <w:rFonts w:cs="Arial"/>
          <w:sz w:val="22"/>
          <w:szCs w:val="22"/>
        </w:rPr>
        <w:t xml:space="preserve">Oxford City Council </w:t>
      </w:r>
      <w:r w:rsidR="00EA37F3" w:rsidRPr="00387207">
        <w:rPr>
          <w:rFonts w:cs="Arial"/>
          <w:sz w:val="22"/>
          <w:szCs w:val="22"/>
        </w:rPr>
        <w:t xml:space="preserve">have previously entered </w:t>
      </w:r>
      <w:r w:rsidRPr="00387207">
        <w:rPr>
          <w:rFonts w:cs="Arial"/>
          <w:sz w:val="22"/>
          <w:szCs w:val="22"/>
        </w:rPr>
        <w:t>Local Authority Housing Fund – Round 1</w:t>
      </w:r>
      <w:r w:rsidR="00FE5BE7" w:rsidRPr="00387207">
        <w:rPr>
          <w:rFonts w:cs="Arial"/>
          <w:sz w:val="22"/>
          <w:szCs w:val="22"/>
        </w:rPr>
        <w:t xml:space="preserve"> and 2</w:t>
      </w:r>
      <w:r w:rsidR="00A204DD" w:rsidRPr="00387207">
        <w:rPr>
          <w:rFonts w:cs="Arial"/>
          <w:sz w:val="22"/>
          <w:szCs w:val="22"/>
        </w:rPr>
        <w:t xml:space="preserve"> and progress to date has been positive. As part of Round 1 and 2, the Council secured funding</w:t>
      </w:r>
      <w:r w:rsidRPr="00387207">
        <w:rPr>
          <w:rFonts w:cs="Arial"/>
          <w:sz w:val="22"/>
          <w:szCs w:val="22"/>
        </w:rPr>
        <w:t xml:space="preserve"> to purchase </w:t>
      </w:r>
      <w:r w:rsidR="00D937CC" w:rsidRPr="00387207">
        <w:rPr>
          <w:rFonts w:cs="Arial"/>
          <w:sz w:val="22"/>
          <w:szCs w:val="22"/>
        </w:rPr>
        <w:t xml:space="preserve">10 properties in total </w:t>
      </w:r>
      <w:r w:rsidR="009C0C5B" w:rsidRPr="00387207">
        <w:rPr>
          <w:rFonts w:cs="Arial"/>
          <w:sz w:val="22"/>
          <w:szCs w:val="22"/>
        </w:rPr>
        <w:t>(</w:t>
      </w:r>
      <w:r w:rsidR="00B07618" w:rsidRPr="00387207">
        <w:rPr>
          <w:rFonts w:cs="Arial"/>
          <w:sz w:val="22"/>
          <w:szCs w:val="22"/>
        </w:rPr>
        <w:t>6</w:t>
      </w:r>
      <w:r w:rsidR="00D937CC" w:rsidRPr="00387207">
        <w:rPr>
          <w:rFonts w:cs="Arial"/>
          <w:sz w:val="22"/>
          <w:szCs w:val="22"/>
        </w:rPr>
        <w:t xml:space="preserve"> under R</w:t>
      </w:r>
      <w:r w:rsidR="00540EB7" w:rsidRPr="00387207">
        <w:rPr>
          <w:rFonts w:cs="Arial"/>
          <w:sz w:val="22"/>
          <w:szCs w:val="22"/>
        </w:rPr>
        <w:t>1</w:t>
      </w:r>
      <w:r w:rsidR="00D937CC" w:rsidRPr="00387207">
        <w:rPr>
          <w:rFonts w:cs="Arial"/>
          <w:sz w:val="22"/>
          <w:szCs w:val="22"/>
        </w:rPr>
        <w:t xml:space="preserve"> and 4 under </w:t>
      </w:r>
      <w:r w:rsidR="00540EB7" w:rsidRPr="00387207">
        <w:rPr>
          <w:rFonts w:cs="Arial"/>
          <w:sz w:val="22"/>
          <w:szCs w:val="22"/>
        </w:rPr>
        <w:t>R2</w:t>
      </w:r>
      <w:r w:rsidR="009C0C5B" w:rsidRPr="00387207">
        <w:rPr>
          <w:rFonts w:cs="Arial"/>
          <w:sz w:val="22"/>
          <w:szCs w:val="22"/>
        </w:rPr>
        <w:t xml:space="preserve">) </w:t>
      </w:r>
      <w:r w:rsidR="00D83D2A" w:rsidRPr="00387207">
        <w:rPr>
          <w:rFonts w:cs="Arial"/>
          <w:sz w:val="22"/>
          <w:szCs w:val="22"/>
        </w:rPr>
        <w:t>from the open market, through a combination of central government grant funding and Council investment</w:t>
      </w:r>
      <w:r w:rsidR="00ED712E" w:rsidRPr="00387207">
        <w:rPr>
          <w:rFonts w:cs="Arial"/>
          <w:sz w:val="22"/>
          <w:szCs w:val="22"/>
        </w:rPr>
        <w:t>.</w:t>
      </w:r>
    </w:p>
    <w:p w14:paraId="58EE1F43" w14:textId="12EAD375" w:rsidR="00C47B9A" w:rsidRPr="00387207" w:rsidRDefault="15EA612B" w:rsidP="000E79ED">
      <w:pPr>
        <w:pStyle w:val="ListParagraph"/>
        <w:rPr>
          <w:rFonts w:cs="Arial"/>
          <w:sz w:val="22"/>
          <w:szCs w:val="22"/>
        </w:rPr>
      </w:pPr>
      <w:r w:rsidRPr="00387207">
        <w:rPr>
          <w:rFonts w:cs="Arial"/>
          <w:sz w:val="22"/>
          <w:szCs w:val="22"/>
        </w:rPr>
        <w:t>LAHF R</w:t>
      </w:r>
      <w:r w:rsidR="00195F2A" w:rsidRPr="00387207">
        <w:rPr>
          <w:rFonts w:cs="Arial"/>
          <w:sz w:val="22"/>
          <w:szCs w:val="22"/>
        </w:rPr>
        <w:t xml:space="preserve">ound 1 </w:t>
      </w:r>
      <w:r w:rsidR="1EF99E7F" w:rsidRPr="00387207">
        <w:rPr>
          <w:rFonts w:cs="Arial"/>
          <w:sz w:val="22"/>
          <w:szCs w:val="22"/>
        </w:rPr>
        <w:t xml:space="preserve">was approved at </w:t>
      </w:r>
      <w:r w:rsidR="7B01FD64" w:rsidRPr="00387207">
        <w:rPr>
          <w:rFonts w:cs="Arial"/>
          <w:sz w:val="22"/>
          <w:szCs w:val="22"/>
        </w:rPr>
        <w:t>C</w:t>
      </w:r>
      <w:r w:rsidR="1F9A8874" w:rsidRPr="00387207">
        <w:rPr>
          <w:rFonts w:cs="Arial"/>
          <w:sz w:val="22"/>
          <w:szCs w:val="22"/>
        </w:rPr>
        <w:t>abinet</w:t>
      </w:r>
      <w:r w:rsidR="61A8D1F8" w:rsidRPr="00387207">
        <w:rPr>
          <w:rFonts w:cs="Arial"/>
          <w:sz w:val="22"/>
          <w:szCs w:val="22"/>
        </w:rPr>
        <w:t xml:space="preserve"> </w:t>
      </w:r>
      <w:r w:rsidR="1F9A8874" w:rsidRPr="00387207">
        <w:rPr>
          <w:rFonts w:cs="Arial"/>
          <w:sz w:val="22"/>
          <w:szCs w:val="22"/>
        </w:rPr>
        <w:t xml:space="preserve">on 19 April 2023 and full Council </w:t>
      </w:r>
      <w:r w:rsidR="7B01FD64" w:rsidRPr="00387207">
        <w:rPr>
          <w:rFonts w:cs="Arial"/>
          <w:sz w:val="22"/>
          <w:szCs w:val="22"/>
        </w:rPr>
        <w:t xml:space="preserve">on </w:t>
      </w:r>
      <w:r w:rsidR="61A8D1F8" w:rsidRPr="00387207">
        <w:rPr>
          <w:rFonts w:cs="Arial"/>
          <w:sz w:val="22"/>
          <w:szCs w:val="22"/>
        </w:rPr>
        <w:t>17 May 2023</w:t>
      </w:r>
      <w:r w:rsidR="1F9A8874" w:rsidRPr="00387207">
        <w:rPr>
          <w:rFonts w:cs="Arial"/>
          <w:sz w:val="22"/>
          <w:szCs w:val="22"/>
        </w:rPr>
        <w:t>.</w:t>
      </w:r>
      <w:r w:rsidR="61A8D1F8" w:rsidRPr="00387207">
        <w:rPr>
          <w:rFonts w:cs="Arial"/>
          <w:sz w:val="22"/>
          <w:szCs w:val="22"/>
        </w:rPr>
        <w:t xml:space="preserve"> </w:t>
      </w:r>
      <w:r w:rsidR="03E92400" w:rsidRPr="00387207">
        <w:rPr>
          <w:rFonts w:cs="Arial"/>
          <w:sz w:val="22"/>
          <w:szCs w:val="22"/>
        </w:rPr>
        <w:t xml:space="preserve">The fund has been successful </w:t>
      </w:r>
      <w:r w:rsidR="29E095B4" w:rsidRPr="00387207">
        <w:rPr>
          <w:rFonts w:cs="Arial"/>
          <w:sz w:val="22"/>
          <w:szCs w:val="22"/>
        </w:rPr>
        <w:t xml:space="preserve">with the </w:t>
      </w:r>
      <w:r w:rsidR="29E095B4" w:rsidRPr="00387207">
        <w:rPr>
          <w:rStyle w:val="ui-provider"/>
          <w:rFonts w:cs="Arial"/>
          <w:sz w:val="22"/>
          <w:szCs w:val="22"/>
        </w:rPr>
        <w:t>team working hard to secure properties</w:t>
      </w:r>
      <w:r w:rsidR="308D66D3" w:rsidRPr="00387207">
        <w:rPr>
          <w:rStyle w:val="ui-provider"/>
          <w:rFonts w:cs="Arial"/>
          <w:sz w:val="22"/>
          <w:szCs w:val="22"/>
        </w:rPr>
        <w:t xml:space="preserve">. A total of </w:t>
      </w:r>
      <w:r w:rsidR="7D6518A7" w:rsidRPr="00387207">
        <w:rPr>
          <w:rStyle w:val="ui-provider"/>
          <w:rFonts w:cs="Arial"/>
          <w:sz w:val="22"/>
          <w:szCs w:val="22"/>
        </w:rPr>
        <w:t>7</w:t>
      </w:r>
      <w:r w:rsidR="308D66D3" w:rsidRPr="00387207">
        <w:rPr>
          <w:rStyle w:val="ui-provider"/>
          <w:rFonts w:cs="Arial"/>
          <w:sz w:val="22"/>
          <w:szCs w:val="22"/>
        </w:rPr>
        <w:t xml:space="preserve"> properties have been purchased and let</w:t>
      </w:r>
      <w:r w:rsidR="5A5AC259" w:rsidRPr="00387207">
        <w:rPr>
          <w:rStyle w:val="ui-provider"/>
          <w:rFonts w:cs="Arial"/>
          <w:sz w:val="22"/>
          <w:szCs w:val="22"/>
        </w:rPr>
        <w:t xml:space="preserve"> to </w:t>
      </w:r>
      <w:r w:rsidR="3703C17A" w:rsidRPr="00387207">
        <w:rPr>
          <w:rStyle w:val="ui-provider"/>
          <w:rFonts w:cs="Arial"/>
          <w:sz w:val="22"/>
          <w:szCs w:val="22"/>
        </w:rPr>
        <w:t>Ukrainian</w:t>
      </w:r>
      <w:r w:rsidR="5A5AC259" w:rsidRPr="00387207">
        <w:rPr>
          <w:rStyle w:val="ui-provider"/>
          <w:rFonts w:cs="Arial"/>
          <w:sz w:val="22"/>
          <w:szCs w:val="22"/>
        </w:rPr>
        <w:t xml:space="preserve"> and Afghan households</w:t>
      </w:r>
      <w:r w:rsidR="3703C17A" w:rsidRPr="00387207">
        <w:rPr>
          <w:rStyle w:val="ui-provider"/>
          <w:rFonts w:cs="Arial"/>
          <w:sz w:val="22"/>
          <w:szCs w:val="22"/>
        </w:rPr>
        <w:t xml:space="preserve"> who have fled conflict in their respective countries.</w:t>
      </w:r>
      <w:r w:rsidR="1FC96635" w:rsidRPr="00387207">
        <w:rPr>
          <w:rStyle w:val="ui-provider"/>
          <w:rFonts w:cs="Arial"/>
          <w:sz w:val="22"/>
          <w:szCs w:val="22"/>
        </w:rPr>
        <w:t xml:space="preserve"> Through diligent negotiation</w:t>
      </w:r>
      <w:r w:rsidR="51999380" w:rsidRPr="00387207">
        <w:rPr>
          <w:rStyle w:val="ui-provider"/>
          <w:rFonts w:cs="Arial"/>
          <w:sz w:val="22"/>
          <w:szCs w:val="22"/>
        </w:rPr>
        <w:t xml:space="preserve"> the Council</w:t>
      </w:r>
      <w:r w:rsidR="3EBCE068" w:rsidRPr="00387207">
        <w:rPr>
          <w:rStyle w:val="ui-provider"/>
          <w:rFonts w:cs="Arial"/>
          <w:sz w:val="22"/>
          <w:szCs w:val="22"/>
        </w:rPr>
        <w:t xml:space="preserve"> secured 7 properties from within the approved budget</w:t>
      </w:r>
      <w:r w:rsidR="51999380" w:rsidRPr="00387207">
        <w:rPr>
          <w:rStyle w:val="ui-provider"/>
          <w:rFonts w:cs="Arial"/>
          <w:sz w:val="22"/>
          <w:szCs w:val="22"/>
        </w:rPr>
        <w:t xml:space="preserve"> </w:t>
      </w:r>
      <w:r w:rsidR="5A4744FA" w:rsidRPr="00387207">
        <w:rPr>
          <w:rStyle w:val="ui-provider"/>
          <w:rFonts w:cs="Arial"/>
          <w:sz w:val="22"/>
          <w:szCs w:val="22"/>
        </w:rPr>
        <w:t xml:space="preserve">which </w:t>
      </w:r>
      <w:r w:rsidR="51999380" w:rsidRPr="00387207">
        <w:rPr>
          <w:rStyle w:val="ui-provider"/>
          <w:rFonts w:cs="Arial"/>
          <w:sz w:val="22"/>
          <w:szCs w:val="22"/>
        </w:rPr>
        <w:t>exceed</w:t>
      </w:r>
      <w:r w:rsidR="004A611E" w:rsidRPr="00387207">
        <w:rPr>
          <w:rStyle w:val="ui-provider"/>
          <w:rFonts w:cs="Arial"/>
          <w:sz w:val="22"/>
          <w:szCs w:val="22"/>
        </w:rPr>
        <w:t>ed</w:t>
      </w:r>
      <w:r w:rsidR="51999380" w:rsidRPr="00387207">
        <w:rPr>
          <w:rStyle w:val="ui-provider"/>
          <w:rFonts w:cs="Arial"/>
          <w:sz w:val="22"/>
          <w:szCs w:val="22"/>
        </w:rPr>
        <w:t xml:space="preserve"> the central government target of 6 properties</w:t>
      </w:r>
      <w:r w:rsidR="40AA70D1" w:rsidRPr="00387207">
        <w:rPr>
          <w:rStyle w:val="ui-provider"/>
          <w:rFonts w:cs="Arial"/>
          <w:sz w:val="22"/>
          <w:szCs w:val="22"/>
        </w:rPr>
        <w:t>,</w:t>
      </w:r>
      <w:r w:rsidR="51999380" w:rsidRPr="00387207">
        <w:rPr>
          <w:rStyle w:val="ui-provider"/>
          <w:rFonts w:cs="Arial"/>
          <w:sz w:val="22"/>
          <w:szCs w:val="22"/>
        </w:rPr>
        <w:t xml:space="preserve"> and </w:t>
      </w:r>
      <w:r w:rsidR="2E8E3C34" w:rsidRPr="00387207">
        <w:rPr>
          <w:rStyle w:val="ui-provider"/>
          <w:rFonts w:cs="Arial"/>
          <w:sz w:val="22"/>
          <w:szCs w:val="22"/>
        </w:rPr>
        <w:t xml:space="preserve">the </w:t>
      </w:r>
      <w:r w:rsidR="51999380" w:rsidRPr="00387207">
        <w:rPr>
          <w:rStyle w:val="ui-provider"/>
          <w:rFonts w:cs="Arial"/>
          <w:sz w:val="22"/>
          <w:szCs w:val="22"/>
        </w:rPr>
        <w:t>R</w:t>
      </w:r>
      <w:r w:rsidR="00312C10" w:rsidRPr="00387207">
        <w:rPr>
          <w:rStyle w:val="ui-provider"/>
          <w:rFonts w:cs="Arial"/>
          <w:sz w:val="22"/>
          <w:szCs w:val="22"/>
        </w:rPr>
        <w:t>1</w:t>
      </w:r>
      <w:r w:rsidR="51999380" w:rsidRPr="00387207">
        <w:rPr>
          <w:rStyle w:val="ui-provider"/>
          <w:rFonts w:cs="Arial"/>
          <w:sz w:val="22"/>
          <w:szCs w:val="22"/>
        </w:rPr>
        <w:t xml:space="preserve"> programme </w:t>
      </w:r>
      <w:r w:rsidR="519A296E" w:rsidRPr="00387207">
        <w:rPr>
          <w:rStyle w:val="ui-provider"/>
          <w:rFonts w:cs="Arial"/>
          <w:sz w:val="22"/>
          <w:szCs w:val="22"/>
        </w:rPr>
        <w:t>is now closed.</w:t>
      </w:r>
      <w:r w:rsidR="51999380" w:rsidRPr="00387207">
        <w:rPr>
          <w:rStyle w:val="ui-provider"/>
          <w:rFonts w:cs="Arial"/>
          <w:sz w:val="22"/>
          <w:szCs w:val="22"/>
        </w:rPr>
        <w:t xml:space="preserve"> </w:t>
      </w:r>
    </w:p>
    <w:p w14:paraId="5D1A62D5" w14:textId="7FBE199A" w:rsidR="008954DF" w:rsidRPr="00387207" w:rsidRDefault="519A296E" w:rsidP="3D9290ED">
      <w:pPr>
        <w:pStyle w:val="ListParagraph"/>
        <w:rPr>
          <w:rFonts w:cs="Arial"/>
          <w:color w:val="auto"/>
          <w:sz w:val="22"/>
          <w:szCs w:val="22"/>
        </w:rPr>
      </w:pPr>
      <w:r w:rsidRPr="00387207">
        <w:rPr>
          <w:rFonts w:cs="Arial"/>
          <w:sz w:val="22"/>
          <w:szCs w:val="22"/>
        </w:rPr>
        <w:t xml:space="preserve">LAHF Round 2 was approved at Cabinet on </w:t>
      </w:r>
      <w:r w:rsidR="5C21E6EF" w:rsidRPr="00387207">
        <w:rPr>
          <w:rFonts w:cs="Arial"/>
          <w:sz w:val="22"/>
          <w:szCs w:val="22"/>
        </w:rPr>
        <w:t>13 September 2023</w:t>
      </w:r>
      <w:r w:rsidRPr="00387207">
        <w:rPr>
          <w:rFonts w:cs="Arial"/>
          <w:sz w:val="22"/>
          <w:szCs w:val="22"/>
        </w:rPr>
        <w:t xml:space="preserve"> and full Council on </w:t>
      </w:r>
      <w:r w:rsidR="1285D2E4" w:rsidRPr="00387207">
        <w:rPr>
          <w:rFonts w:cs="Arial"/>
          <w:sz w:val="22"/>
          <w:szCs w:val="22"/>
        </w:rPr>
        <w:t>2 October</w:t>
      </w:r>
      <w:r w:rsidR="6AF2C59E" w:rsidRPr="00387207">
        <w:rPr>
          <w:rFonts w:cs="Arial"/>
          <w:sz w:val="22"/>
          <w:szCs w:val="22"/>
        </w:rPr>
        <w:t xml:space="preserve"> 2023</w:t>
      </w:r>
      <w:r w:rsidRPr="00387207">
        <w:rPr>
          <w:rFonts w:cs="Arial"/>
          <w:sz w:val="22"/>
          <w:szCs w:val="22"/>
        </w:rPr>
        <w:t xml:space="preserve">. Progress </w:t>
      </w:r>
      <w:r w:rsidR="075315AA" w:rsidRPr="00387207">
        <w:rPr>
          <w:rFonts w:cs="Arial"/>
          <w:sz w:val="22"/>
          <w:szCs w:val="22"/>
        </w:rPr>
        <w:t xml:space="preserve">to date </w:t>
      </w:r>
      <w:r w:rsidRPr="00387207">
        <w:rPr>
          <w:rFonts w:cs="Arial"/>
          <w:sz w:val="22"/>
          <w:szCs w:val="22"/>
        </w:rPr>
        <w:t>has been positive</w:t>
      </w:r>
      <w:r w:rsidR="075315AA" w:rsidRPr="00387207">
        <w:rPr>
          <w:rFonts w:cs="Arial"/>
          <w:sz w:val="22"/>
          <w:szCs w:val="22"/>
        </w:rPr>
        <w:t xml:space="preserve">, </w:t>
      </w:r>
      <w:r w:rsidR="03E92400" w:rsidRPr="00387207">
        <w:rPr>
          <w:rFonts w:cs="Arial"/>
          <w:sz w:val="22"/>
          <w:szCs w:val="22"/>
        </w:rPr>
        <w:t>the team have</w:t>
      </w:r>
      <w:r w:rsidR="49E516DB" w:rsidRPr="00387207">
        <w:rPr>
          <w:rStyle w:val="ui-provider"/>
          <w:rFonts w:cs="Arial"/>
          <w:sz w:val="22"/>
          <w:szCs w:val="22"/>
        </w:rPr>
        <w:t xml:space="preserve"> purchase</w:t>
      </w:r>
      <w:r w:rsidR="03E92400" w:rsidRPr="00387207">
        <w:rPr>
          <w:rStyle w:val="ui-provider"/>
          <w:rFonts w:cs="Arial"/>
          <w:sz w:val="22"/>
          <w:szCs w:val="22"/>
        </w:rPr>
        <w:t>d</w:t>
      </w:r>
      <w:r w:rsidR="49E516DB" w:rsidRPr="00387207">
        <w:rPr>
          <w:rStyle w:val="ui-provider"/>
          <w:rFonts w:cs="Arial"/>
          <w:sz w:val="22"/>
          <w:szCs w:val="22"/>
        </w:rPr>
        <w:t xml:space="preserve"> 5 </w:t>
      </w:r>
      <w:r w:rsidR="7B6116A5" w:rsidRPr="00387207">
        <w:rPr>
          <w:rStyle w:val="ui-provider"/>
          <w:rFonts w:cs="Arial"/>
          <w:sz w:val="22"/>
          <w:szCs w:val="22"/>
        </w:rPr>
        <w:t>properties and</w:t>
      </w:r>
      <w:r w:rsidR="0010308A" w:rsidRPr="00387207">
        <w:rPr>
          <w:rStyle w:val="ui-provider"/>
          <w:rFonts w:cs="Arial"/>
          <w:sz w:val="22"/>
          <w:szCs w:val="22"/>
        </w:rPr>
        <w:t xml:space="preserve"> are on course to secure a further 3</w:t>
      </w:r>
      <w:r w:rsidR="00F22FD0" w:rsidRPr="00387207">
        <w:rPr>
          <w:rStyle w:val="ui-provider"/>
          <w:rFonts w:cs="Arial"/>
          <w:sz w:val="22"/>
          <w:szCs w:val="22"/>
        </w:rPr>
        <w:t>,</w:t>
      </w:r>
      <w:r w:rsidR="34EFA731" w:rsidRPr="00387207">
        <w:rPr>
          <w:rStyle w:val="ui-provider"/>
          <w:rFonts w:cs="Arial"/>
          <w:sz w:val="22"/>
          <w:szCs w:val="22"/>
        </w:rPr>
        <w:t xml:space="preserve"> funded from underspends from the scheme</w:t>
      </w:r>
      <w:r w:rsidR="0CCBFCC3" w:rsidRPr="00387207">
        <w:rPr>
          <w:rStyle w:val="ui-provider"/>
          <w:rFonts w:cs="Arial"/>
          <w:sz w:val="22"/>
          <w:szCs w:val="22"/>
        </w:rPr>
        <w:t>,</w:t>
      </w:r>
      <w:r w:rsidR="49E516DB" w:rsidRPr="00387207">
        <w:rPr>
          <w:rStyle w:val="ui-provider"/>
          <w:rFonts w:cs="Arial"/>
          <w:sz w:val="22"/>
          <w:szCs w:val="22"/>
        </w:rPr>
        <w:t xml:space="preserve"> </w:t>
      </w:r>
      <w:r w:rsidR="5EF7C28A" w:rsidRPr="00387207">
        <w:rPr>
          <w:rStyle w:val="ui-provider"/>
          <w:rFonts w:cs="Arial"/>
          <w:sz w:val="22"/>
          <w:szCs w:val="22"/>
        </w:rPr>
        <w:t xml:space="preserve">again </w:t>
      </w:r>
      <w:r w:rsidR="72124274" w:rsidRPr="00387207">
        <w:rPr>
          <w:rStyle w:val="ui-provider"/>
          <w:rFonts w:cs="Arial"/>
          <w:sz w:val="22"/>
          <w:szCs w:val="22"/>
        </w:rPr>
        <w:t xml:space="preserve">exceeding the </w:t>
      </w:r>
      <w:r w:rsidR="30BE7E97" w:rsidRPr="00387207">
        <w:rPr>
          <w:rStyle w:val="ui-provider"/>
          <w:rFonts w:cs="Arial"/>
          <w:sz w:val="22"/>
          <w:szCs w:val="22"/>
        </w:rPr>
        <w:t>central government target</w:t>
      </w:r>
      <w:r w:rsidR="0CCBFCC3" w:rsidRPr="00387207">
        <w:rPr>
          <w:rStyle w:val="ui-provider"/>
          <w:rFonts w:cs="Arial"/>
          <w:sz w:val="22"/>
          <w:szCs w:val="22"/>
        </w:rPr>
        <w:t>.</w:t>
      </w:r>
      <w:r w:rsidR="10175B79" w:rsidRPr="00387207">
        <w:rPr>
          <w:rStyle w:val="ui-provider"/>
          <w:rFonts w:cs="Arial"/>
          <w:sz w:val="22"/>
          <w:szCs w:val="22"/>
        </w:rPr>
        <w:t xml:space="preserve"> The properties are being let to A</w:t>
      </w:r>
      <w:r w:rsidR="31481BC9" w:rsidRPr="00387207">
        <w:rPr>
          <w:rStyle w:val="ui-provider"/>
          <w:rFonts w:cs="Arial"/>
          <w:sz w:val="22"/>
          <w:szCs w:val="22"/>
        </w:rPr>
        <w:t xml:space="preserve">fghan refugees </w:t>
      </w:r>
      <w:r w:rsidR="42EACE43" w:rsidRPr="00387207">
        <w:rPr>
          <w:rStyle w:val="ui-provider"/>
          <w:rFonts w:cs="Arial"/>
          <w:sz w:val="22"/>
          <w:szCs w:val="22"/>
        </w:rPr>
        <w:t>and</w:t>
      </w:r>
      <w:r w:rsidR="31481BC9" w:rsidRPr="00387207">
        <w:rPr>
          <w:rStyle w:val="ui-provider"/>
          <w:rFonts w:cs="Arial"/>
          <w:sz w:val="22"/>
          <w:szCs w:val="22"/>
        </w:rPr>
        <w:t xml:space="preserve"> </w:t>
      </w:r>
      <w:r w:rsidR="1DCB8733" w:rsidRPr="00387207">
        <w:rPr>
          <w:rStyle w:val="ui-provider"/>
          <w:rFonts w:cs="Arial"/>
          <w:sz w:val="22"/>
          <w:szCs w:val="22"/>
        </w:rPr>
        <w:t xml:space="preserve">wider </w:t>
      </w:r>
      <w:r w:rsidR="31481BC9" w:rsidRPr="00387207">
        <w:rPr>
          <w:rStyle w:val="ui-provider"/>
          <w:rFonts w:cs="Arial"/>
          <w:sz w:val="22"/>
          <w:szCs w:val="22"/>
        </w:rPr>
        <w:t>homelessness households</w:t>
      </w:r>
      <w:r w:rsidR="75EAF129" w:rsidRPr="00387207">
        <w:rPr>
          <w:rStyle w:val="ui-provider"/>
          <w:rFonts w:cs="Arial"/>
          <w:sz w:val="22"/>
          <w:szCs w:val="22"/>
        </w:rPr>
        <w:t xml:space="preserve"> the Council have </w:t>
      </w:r>
      <w:r w:rsidR="45D7942F" w:rsidRPr="00387207">
        <w:rPr>
          <w:rStyle w:val="ui-provider"/>
          <w:rFonts w:cs="Arial"/>
          <w:sz w:val="22"/>
          <w:szCs w:val="22"/>
        </w:rPr>
        <w:t xml:space="preserve">a homeless </w:t>
      </w:r>
      <w:r w:rsidR="75EAF129" w:rsidRPr="00387207">
        <w:rPr>
          <w:rStyle w:val="ui-provider"/>
          <w:rFonts w:cs="Arial"/>
          <w:sz w:val="22"/>
          <w:szCs w:val="22"/>
        </w:rPr>
        <w:t>duty towards</w:t>
      </w:r>
      <w:r w:rsidR="42EACE43" w:rsidRPr="00387207">
        <w:rPr>
          <w:rStyle w:val="ui-provider"/>
          <w:rFonts w:cs="Arial"/>
          <w:sz w:val="22"/>
          <w:szCs w:val="22"/>
        </w:rPr>
        <w:t>, reducing the usage of expensive hotels and</w:t>
      </w:r>
      <w:r w:rsidR="2342A151" w:rsidRPr="00387207">
        <w:rPr>
          <w:rStyle w:val="ui-provider"/>
          <w:rFonts w:cs="Arial"/>
          <w:sz w:val="22"/>
          <w:szCs w:val="22"/>
        </w:rPr>
        <w:t xml:space="preserve"> increasing the supply of good quality temporary accommodation. </w:t>
      </w:r>
    </w:p>
    <w:p w14:paraId="19F5B8C0" w14:textId="1A4F96A4" w:rsidR="00F36BFD" w:rsidRPr="00387207" w:rsidRDefault="4F19BEDE">
      <w:pPr>
        <w:pStyle w:val="ListParagraph"/>
        <w:rPr>
          <w:rFonts w:cs="Arial"/>
          <w:sz w:val="22"/>
          <w:szCs w:val="22"/>
        </w:rPr>
      </w:pPr>
      <w:r w:rsidRPr="00387207">
        <w:rPr>
          <w:rFonts w:cs="Arial"/>
          <w:color w:val="0B0C0C"/>
          <w:sz w:val="22"/>
          <w:szCs w:val="22"/>
          <w:shd w:val="clear" w:color="auto" w:fill="FFFFFF"/>
        </w:rPr>
        <w:t xml:space="preserve">Oxford City </w:t>
      </w:r>
      <w:r w:rsidR="1A886009" w:rsidRPr="00387207">
        <w:rPr>
          <w:rFonts w:cs="Arial"/>
          <w:color w:val="0B0C0C"/>
          <w:sz w:val="22"/>
          <w:szCs w:val="22"/>
          <w:shd w:val="clear" w:color="auto" w:fill="FFFFFF"/>
        </w:rPr>
        <w:t xml:space="preserve">Council </w:t>
      </w:r>
      <w:r w:rsidR="5D1935F2" w:rsidRPr="00387207">
        <w:rPr>
          <w:rFonts w:cs="Arial"/>
          <w:color w:val="0B0C0C"/>
          <w:sz w:val="22"/>
          <w:szCs w:val="22"/>
          <w:shd w:val="clear" w:color="auto" w:fill="FFFFFF"/>
        </w:rPr>
        <w:t xml:space="preserve">was allocated </w:t>
      </w:r>
      <w:r w:rsidR="00844115" w:rsidRPr="00387207">
        <w:rPr>
          <w:rFonts w:cs="Arial"/>
          <w:color w:val="0B0C0C"/>
          <w:sz w:val="22"/>
          <w:szCs w:val="22"/>
          <w:shd w:val="clear" w:color="auto" w:fill="FFFFFF"/>
        </w:rPr>
        <w:t xml:space="preserve">further grant </w:t>
      </w:r>
      <w:r w:rsidR="5D1935F2" w:rsidRPr="00387207">
        <w:rPr>
          <w:rFonts w:cs="Arial"/>
          <w:color w:val="0B0C0C"/>
          <w:sz w:val="22"/>
          <w:szCs w:val="22"/>
          <w:shd w:val="clear" w:color="auto" w:fill="FFFFFF"/>
        </w:rPr>
        <w:t>funding for</w:t>
      </w:r>
      <w:r w:rsidRPr="00387207">
        <w:rPr>
          <w:rFonts w:cs="Arial"/>
          <w:color w:val="0B0C0C"/>
          <w:sz w:val="22"/>
          <w:szCs w:val="22"/>
          <w:shd w:val="clear" w:color="auto" w:fill="FFFFFF"/>
        </w:rPr>
        <w:t xml:space="preserve"> </w:t>
      </w:r>
      <w:r w:rsidR="5D1935F2" w:rsidRPr="00387207">
        <w:rPr>
          <w:rFonts w:cs="Arial"/>
          <w:color w:val="0B0C0C"/>
          <w:sz w:val="22"/>
          <w:szCs w:val="22"/>
          <w:shd w:val="clear" w:color="auto" w:fill="FFFFFF"/>
        </w:rPr>
        <w:t>LAHF R</w:t>
      </w:r>
      <w:r w:rsidR="005F29AF" w:rsidRPr="00387207">
        <w:rPr>
          <w:rFonts w:cs="Arial"/>
          <w:color w:val="0B0C0C"/>
          <w:sz w:val="22"/>
          <w:szCs w:val="22"/>
          <w:shd w:val="clear" w:color="auto" w:fill="FFFFFF"/>
        </w:rPr>
        <w:t>ound 3</w:t>
      </w:r>
      <w:r w:rsidR="5D1935F2" w:rsidRPr="00387207">
        <w:rPr>
          <w:rFonts w:cs="Arial"/>
          <w:color w:val="0B0C0C"/>
          <w:sz w:val="22"/>
          <w:szCs w:val="22"/>
          <w:shd w:val="clear" w:color="auto" w:fill="FFFFFF"/>
        </w:rPr>
        <w:t xml:space="preserve"> </w:t>
      </w:r>
      <w:r w:rsidR="00356DCC" w:rsidRPr="00387207">
        <w:rPr>
          <w:rFonts w:cs="Arial"/>
          <w:color w:val="0B0C0C"/>
          <w:sz w:val="22"/>
          <w:szCs w:val="22"/>
          <w:shd w:val="clear" w:color="auto" w:fill="FFFFFF"/>
        </w:rPr>
        <w:t xml:space="preserve">to purchase </w:t>
      </w:r>
      <w:r w:rsidR="00C506B4" w:rsidRPr="00387207">
        <w:rPr>
          <w:rFonts w:cs="Arial"/>
          <w:color w:val="0B0C0C"/>
          <w:sz w:val="22"/>
          <w:szCs w:val="22"/>
          <w:shd w:val="clear" w:color="auto" w:fill="FFFFFF"/>
        </w:rPr>
        <w:t>5 properties</w:t>
      </w:r>
      <w:r w:rsidR="7BA8EA03" w:rsidRPr="00387207">
        <w:rPr>
          <w:rFonts w:cs="Arial"/>
          <w:color w:val="auto"/>
          <w:sz w:val="22"/>
          <w:szCs w:val="22"/>
          <w:shd w:val="clear" w:color="auto" w:fill="FFFFFF"/>
        </w:rPr>
        <w:t xml:space="preserve">. </w:t>
      </w:r>
      <w:r w:rsidR="00C506B4" w:rsidRPr="00387207">
        <w:rPr>
          <w:rFonts w:cs="Arial"/>
          <w:sz w:val="22"/>
          <w:szCs w:val="22"/>
        </w:rPr>
        <w:t xml:space="preserve">There are two elements to the fund, the </w:t>
      </w:r>
      <w:r w:rsidR="000A2F34" w:rsidRPr="00387207">
        <w:rPr>
          <w:rFonts w:cs="Arial"/>
          <w:sz w:val="22"/>
          <w:szCs w:val="22"/>
        </w:rPr>
        <w:t>temporary accommodation (</w:t>
      </w:r>
      <w:r w:rsidR="00C506B4" w:rsidRPr="00387207">
        <w:rPr>
          <w:rFonts w:cs="Arial"/>
          <w:sz w:val="22"/>
          <w:szCs w:val="22"/>
        </w:rPr>
        <w:t>‘</w:t>
      </w:r>
      <w:r w:rsidR="00CD0FCF" w:rsidRPr="00387207">
        <w:rPr>
          <w:rFonts w:cs="Arial"/>
          <w:sz w:val="22"/>
          <w:szCs w:val="22"/>
        </w:rPr>
        <w:t>TA’</w:t>
      </w:r>
      <w:r w:rsidR="000A2F34" w:rsidRPr="00387207">
        <w:rPr>
          <w:rFonts w:cs="Arial"/>
          <w:sz w:val="22"/>
          <w:szCs w:val="22"/>
        </w:rPr>
        <w:t>)</w:t>
      </w:r>
      <w:r w:rsidR="00CD0FCF" w:rsidRPr="00387207">
        <w:rPr>
          <w:rFonts w:cs="Arial"/>
          <w:sz w:val="22"/>
          <w:szCs w:val="22"/>
        </w:rPr>
        <w:t xml:space="preserve"> element</w:t>
      </w:r>
      <w:r w:rsidR="00F2212D" w:rsidRPr="00387207">
        <w:rPr>
          <w:rFonts w:cs="Arial"/>
          <w:sz w:val="22"/>
          <w:szCs w:val="22"/>
        </w:rPr>
        <w:t>, with properties used</w:t>
      </w:r>
      <w:r w:rsidR="00890D3F" w:rsidRPr="00387207">
        <w:rPr>
          <w:rFonts w:cs="Arial"/>
          <w:sz w:val="22"/>
          <w:szCs w:val="22"/>
        </w:rPr>
        <w:t xml:space="preserve"> for homeless households and the </w:t>
      </w:r>
      <w:r w:rsidR="00C14C3B" w:rsidRPr="00387207">
        <w:rPr>
          <w:rFonts w:cs="Arial"/>
          <w:sz w:val="22"/>
          <w:szCs w:val="22"/>
        </w:rPr>
        <w:t xml:space="preserve">‘resettlement’ element </w:t>
      </w:r>
      <w:r w:rsidR="007B05D5" w:rsidRPr="00387207">
        <w:rPr>
          <w:rFonts w:cs="Arial"/>
          <w:sz w:val="22"/>
          <w:szCs w:val="22"/>
        </w:rPr>
        <w:t xml:space="preserve">to </w:t>
      </w:r>
      <w:r w:rsidR="00FB034B" w:rsidRPr="00387207">
        <w:rPr>
          <w:rFonts w:cs="Arial"/>
          <w:sz w:val="22"/>
          <w:szCs w:val="22"/>
        </w:rPr>
        <w:t>support</w:t>
      </w:r>
      <w:r w:rsidR="007B05D5" w:rsidRPr="00387207">
        <w:rPr>
          <w:rFonts w:cs="Arial"/>
          <w:sz w:val="22"/>
          <w:szCs w:val="22"/>
        </w:rPr>
        <w:t xml:space="preserve"> Afghan households</w:t>
      </w:r>
      <w:r w:rsidR="00BB762B">
        <w:rPr>
          <w:rFonts w:cs="Arial"/>
          <w:sz w:val="22"/>
          <w:szCs w:val="22"/>
        </w:rPr>
        <w:t xml:space="preserve"> in need</w:t>
      </w:r>
      <w:r w:rsidR="000D6EF2">
        <w:rPr>
          <w:rFonts w:cs="Arial"/>
          <w:sz w:val="22"/>
          <w:szCs w:val="22"/>
        </w:rPr>
        <w:t xml:space="preserve"> of</w:t>
      </w:r>
      <w:r w:rsidR="00FB034B" w:rsidRPr="00387207">
        <w:rPr>
          <w:rFonts w:cs="Arial"/>
          <w:sz w:val="22"/>
          <w:szCs w:val="22"/>
        </w:rPr>
        <w:t xml:space="preserve"> resettle</w:t>
      </w:r>
      <w:r w:rsidR="000D6EF2">
        <w:rPr>
          <w:rFonts w:cs="Arial"/>
          <w:sz w:val="22"/>
          <w:szCs w:val="22"/>
        </w:rPr>
        <w:t>ment</w:t>
      </w:r>
      <w:r w:rsidR="00C506B4" w:rsidRPr="00387207">
        <w:rPr>
          <w:rFonts w:cs="Arial"/>
          <w:sz w:val="22"/>
          <w:szCs w:val="22"/>
        </w:rPr>
        <w:t xml:space="preserve">. </w:t>
      </w:r>
    </w:p>
    <w:p w14:paraId="7C9B3B46" w14:textId="1CDD01CA" w:rsidR="008954DF" w:rsidRPr="00387207" w:rsidRDefault="00C506B4">
      <w:pPr>
        <w:pStyle w:val="ListParagraph"/>
        <w:rPr>
          <w:rFonts w:cs="Arial"/>
          <w:sz w:val="22"/>
          <w:szCs w:val="22"/>
        </w:rPr>
      </w:pPr>
      <w:r w:rsidRPr="00387207">
        <w:rPr>
          <w:rFonts w:cs="Arial"/>
          <w:sz w:val="22"/>
          <w:szCs w:val="22"/>
        </w:rPr>
        <w:t>The 5 properties will be acquired from the local housing market</w:t>
      </w:r>
      <w:r w:rsidR="00263620">
        <w:rPr>
          <w:rFonts w:cs="Arial"/>
          <w:sz w:val="22"/>
          <w:szCs w:val="22"/>
        </w:rPr>
        <w:t>;</w:t>
      </w:r>
      <w:r w:rsidR="00C14C3B" w:rsidRPr="00387207">
        <w:rPr>
          <w:rFonts w:cs="Arial"/>
          <w:sz w:val="22"/>
          <w:szCs w:val="22"/>
        </w:rPr>
        <w:t xml:space="preserve"> two 1 bedroom properties for the ‘TA’ element to be used as temporary accommodation for wider homelessness pressures</w:t>
      </w:r>
      <w:r w:rsidR="0090240D" w:rsidRPr="00387207">
        <w:rPr>
          <w:rFonts w:cs="Arial"/>
          <w:sz w:val="22"/>
          <w:szCs w:val="22"/>
        </w:rPr>
        <w:t xml:space="preserve"> and</w:t>
      </w:r>
      <w:r w:rsidRPr="00387207">
        <w:rPr>
          <w:rFonts w:cs="Arial"/>
          <w:sz w:val="22"/>
          <w:szCs w:val="22"/>
        </w:rPr>
        <w:t xml:space="preserve"> 3 will be between 2-4+ bedrooms allocated to the ‘resettlement’ element</w:t>
      </w:r>
      <w:r w:rsidR="0090240D" w:rsidRPr="00387207">
        <w:rPr>
          <w:rFonts w:cs="Arial"/>
          <w:sz w:val="22"/>
          <w:szCs w:val="22"/>
        </w:rPr>
        <w:t xml:space="preserve">. </w:t>
      </w:r>
      <w:r w:rsidRPr="00387207">
        <w:rPr>
          <w:rFonts w:cs="Arial"/>
          <w:sz w:val="22"/>
          <w:szCs w:val="22"/>
        </w:rPr>
        <w:t>MHCLG has approved this proposal and agreed to release funds, subject to the Council making the necessary part investment and meeting the terms of the fund.</w:t>
      </w:r>
    </w:p>
    <w:p w14:paraId="755EF5CD" w14:textId="74CBAC69" w:rsidR="008954DF" w:rsidRPr="00387207" w:rsidRDefault="1E6F136D" w:rsidP="3D9290ED">
      <w:pPr>
        <w:pStyle w:val="ListParagraph"/>
        <w:rPr>
          <w:rFonts w:cs="Arial"/>
          <w:color w:val="auto"/>
          <w:sz w:val="22"/>
          <w:szCs w:val="22"/>
        </w:rPr>
      </w:pPr>
      <w:r w:rsidRPr="00387207">
        <w:rPr>
          <w:rFonts w:cs="Arial"/>
          <w:color w:val="auto"/>
          <w:sz w:val="22"/>
          <w:szCs w:val="22"/>
          <w:shd w:val="clear" w:color="auto" w:fill="FFFFFF"/>
        </w:rPr>
        <w:t xml:space="preserve">LAHF </w:t>
      </w:r>
      <w:r w:rsidR="13A26CC8" w:rsidRPr="00387207">
        <w:rPr>
          <w:rFonts w:cs="Arial"/>
          <w:color w:val="auto"/>
          <w:sz w:val="22"/>
          <w:szCs w:val="22"/>
          <w:shd w:val="clear" w:color="auto" w:fill="FFFFFF"/>
        </w:rPr>
        <w:t>R</w:t>
      </w:r>
      <w:r w:rsidR="2342A151" w:rsidRPr="00387207">
        <w:rPr>
          <w:rFonts w:cs="Arial"/>
          <w:color w:val="auto"/>
          <w:sz w:val="22"/>
          <w:szCs w:val="22"/>
          <w:shd w:val="clear" w:color="auto" w:fill="FFFFFF"/>
        </w:rPr>
        <w:t>3</w:t>
      </w:r>
      <w:r w:rsidR="24C726C4" w:rsidRPr="00387207">
        <w:rPr>
          <w:rFonts w:cs="Arial"/>
          <w:color w:val="auto"/>
          <w:sz w:val="22"/>
          <w:szCs w:val="22"/>
          <w:shd w:val="clear" w:color="auto" w:fill="FFFFFF"/>
        </w:rPr>
        <w:t xml:space="preserve"> will</w:t>
      </w:r>
      <w:r w:rsidR="24C726C4" w:rsidRPr="00387207">
        <w:rPr>
          <w:rFonts w:cs="Arial"/>
          <w:color w:val="auto"/>
          <w:sz w:val="22"/>
          <w:szCs w:val="22"/>
        </w:rPr>
        <w:t xml:space="preserve"> help </w:t>
      </w:r>
      <w:r w:rsidR="6ED4C9B1" w:rsidRPr="00387207">
        <w:rPr>
          <w:rFonts w:cs="Arial"/>
          <w:color w:val="auto"/>
          <w:sz w:val="22"/>
          <w:szCs w:val="22"/>
        </w:rPr>
        <w:t>the Council</w:t>
      </w:r>
      <w:r w:rsidR="24C726C4" w:rsidRPr="00387207">
        <w:rPr>
          <w:rFonts w:cs="Arial"/>
          <w:color w:val="auto"/>
          <w:sz w:val="22"/>
          <w:szCs w:val="22"/>
        </w:rPr>
        <w:t xml:space="preserve"> achieve its corporate priorities, to </w:t>
      </w:r>
      <w:r w:rsidR="5885FF52" w:rsidRPr="00387207">
        <w:rPr>
          <w:rFonts w:cs="Arial"/>
          <w:i/>
          <w:iCs/>
          <w:color w:val="auto"/>
          <w:sz w:val="22"/>
          <w:szCs w:val="22"/>
        </w:rPr>
        <w:t>d</w:t>
      </w:r>
      <w:r w:rsidR="24C726C4" w:rsidRPr="00387207">
        <w:rPr>
          <w:rFonts w:cs="Arial"/>
          <w:i/>
          <w:iCs/>
          <w:color w:val="auto"/>
          <w:sz w:val="22"/>
          <w:szCs w:val="22"/>
        </w:rPr>
        <w:t xml:space="preserve">eliver </w:t>
      </w:r>
      <w:r w:rsidR="5A565AD9" w:rsidRPr="00387207">
        <w:rPr>
          <w:rFonts w:cs="Arial"/>
          <w:i/>
          <w:iCs/>
          <w:color w:val="auto"/>
          <w:sz w:val="22"/>
          <w:szCs w:val="22"/>
        </w:rPr>
        <w:t xml:space="preserve">good, affordable homes and </w:t>
      </w:r>
      <w:r w:rsidR="5885FF52" w:rsidRPr="00387207">
        <w:rPr>
          <w:rFonts w:cs="Arial"/>
          <w:i/>
          <w:iCs/>
          <w:color w:val="auto"/>
          <w:sz w:val="22"/>
          <w:szCs w:val="22"/>
        </w:rPr>
        <w:t>support thriving c</w:t>
      </w:r>
      <w:r w:rsidR="6ED4C9B1" w:rsidRPr="00387207">
        <w:rPr>
          <w:rFonts w:cs="Arial"/>
          <w:i/>
          <w:iCs/>
          <w:color w:val="auto"/>
          <w:sz w:val="22"/>
          <w:szCs w:val="22"/>
        </w:rPr>
        <w:t>ommunities,</w:t>
      </w:r>
      <w:r w:rsidR="24C726C4" w:rsidRPr="00387207">
        <w:rPr>
          <w:rFonts w:cs="Arial"/>
          <w:i/>
          <w:iCs/>
          <w:color w:val="auto"/>
          <w:sz w:val="22"/>
          <w:szCs w:val="22"/>
        </w:rPr>
        <w:t xml:space="preserve"> </w:t>
      </w:r>
      <w:r w:rsidR="24C726C4" w:rsidRPr="00387207">
        <w:rPr>
          <w:rFonts w:cs="Arial"/>
          <w:color w:val="auto"/>
          <w:sz w:val="22"/>
          <w:szCs w:val="22"/>
        </w:rPr>
        <w:t xml:space="preserve">and </w:t>
      </w:r>
      <w:r w:rsidR="24C726C4" w:rsidRPr="00387207">
        <w:rPr>
          <w:rFonts w:cs="Arial"/>
          <w:color w:val="0B0C0C"/>
          <w:sz w:val="22"/>
          <w:szCs w:val="22"/>
          <w:shd w:val="clear" w:color="auto" w:fill="FFFFFF"/>
        </w:rPr>
        <w:t xml:space="preserve">allow </w:t>
      </w:r>
      <w:r w:rsidR="7B01FD64" w:rsidRPr="00387207">
        <w:rPr>
          <w:rFonts w:cs="Arial"/>
          <w:color w:val="0B0C0C"/>
          <w:sz w:val="22"/>
          <w:szCs w:val="22"/>
          <w:shd w:val="clear" w:color="auto" w:fill="FFFFFF"/>
        </w:rPr>
        <w:t xml:space="preserve">the Council </w:t>
      </w:r>
      <w:r w:rsidR="24C726C4" w:rsidRPr="00387207">
        <w:rPr>
          <w:rFonts w:cs="Arial"/>
          <w:color w:val="0B0C0C"/>
          <w:sz w:val="22"/>
          <w:szCs w:val="22"/>
          <w:shd w:val="clear" w:color="auto" w:fill="FFFFFF"/>
        </w:rPr>
        <w:t xml:space="preserve">to access funding to </w:t>
      </w:r>
      <w:r w:rsidR="6ED4C9B1" w:rsidRPr="00387207">
        <w:rPr>
          <w:rFonts w:cs="Arial"/>
          <w:color w:val="0B0C0C"/>
          <w:sz w:val="22"/>
          <w:szCs w:val="22"/>
          <w:shd w:val="clear" w:color="auto" w:fill="FFFFFF"/>
        </w:rPr>
        <w:t xml:space="preserve">both </w:t>
      </w:r>
      <w:r w:rsidR="24C726C4" w:rsidRPr="00387207">
        <w:rPr>
          <w:rFonts w:cs="Arial"/>
          <w:color w:val="0B0C0C"/>
          <w:sz w:val="22"/>
          <w:szCs w:val="22"/>
          <w:shd w:val="clear" w:color="auto" w:fill="FFFFFF"/>
        </w:rPr>
        <w:t>address the immediate pressures</w:t>
      </w:r>
      <w:r w:rsidR="6ED4C9B1" w:rsidRPr="00387207">
        <w:rPr>
          <w:rFonts w:cs="Arial"/>
          <w:color w:val="0B0C0C"/>
          <w:sz w:val="22"/>
          <w:szCs w:val="22"/>
          <w:shd w:val="clear" w:color="auto" w:fill="FFFFFF"/>
        </w:rPr>
        <w:t xml:space="preserve"> of supporting refugee communities to find accommodation,</w:t>
      </w:r>
      <w:r w:rsidR="0E0D77CD" w:rsidRPr="00387207">
        <w:rPr>
          <w:rFonts w:cs="Arial"/>
          <w:color w:val="0B0C0C"/>
          <w:sz w:val="22"/>
          <w:szCs w:val="22"/>
          <w:shd w:val="clear" w:color="auto" w:fill="FFFFFF"/>
        </w:rPr>
        <w:t xml:space="preserve"> </w:t>
      </w:r>
      <w:r w:rsidR="23B0D4E8" w:rsidRPr="00387207">
        <w:rPr>
          <w:rFonts w:cs="Arial"/>
          <w:color w:val="0B0C0C"/>
          <w:sz w:val="22"/>
          <w:szCs w:val="22"/>
          <w:shd w:val="clear" w:color="auto" w:fill="FFFFFF"/>
        </w:rPr>
        <w:t xml:space="preserve">and </w:t>
      </w:r>
      <w:r w:rsidR="0E0D77CD" w:rsidRPr="00387207">
        <w:rPr>
          <w:rFonts w:cs="Arial"/>
          <w:color w:val="0B0C0C"/>
          <w:sz w:val="22"/>
          <w:szCs w:val="22"/>
          <w:shd w:val="clear" w:color="auto" w:fill="FFFFFF"/>
        </w:rPr>
        <w:t>increasing the supply of good quality temporary accommodation</w:t>
      </w:r>
      <w:r w:rsidR="2823948D" w:rsidRPr="00387207">
        <w:rPr>
          <w:rFonts w:cs="Arial"/>
          <w:color w:val="0B0C0C"/>
          <w:sz w:val="22"/>
          <w:szCs w:val="22"/>
          <w:shd w:val="clear" w:color="auto" w:fill="FFFFFF"/>
        </w:rPr>
        <w:t>,</w:t>
      </w:r>
      <w:r w:rsidR="24C726C4" w:rsidRPr="00387207">
        <w:rPr>
          <w:rFonts w:cs="Arial"/>
          <w:color w:val="0B0C0C"/>
          <w:sz w:val="22"/>
          <w:szCs w:val="22"/>
          <w:shd w:val="clear" w:color="auto" w:fill="FFFFFF"/>
        </w:rPr>
        <w:t xml:space="preserve"> as well as </w:t>
      </w:r>
      <w:r w:rsidR="6ED4C9B1" w:rsidRPr="00387207">
        <w:rPr>
          <w:rFonts w:cs="Arial"/>
          <w:color w:val="0B0C0C"/>
          <w:sz w:val="22"/>
          <w:szCs w:val="22"/>
          <w:shd w:val="clear" w:color="auto" w:fill="FFFFFF"/>
        </w:rPr>
        <w:t>adding to our stock of council housing</w:t>
      </w:r>
      <w:r w:rsidR="24C726C4" w:rsidRPr="00387207">
        <w:rPr>
          <w:rFonts w:cs="Arial"/>
          <w:color w:val="0B0C0C"/>
          <w:sz w:val="22"/>
          <w:szCs w:val="22"/>
          <w:shd w:val="clear" w:color="auto" w:fill="FFFFFF"/>
        </w:rPr>
        <w:t xml:space="preserve"> for the future.</w:t>
      </w:r>
    </w:p>
    <w:p w14:paraId="453DC9D7" w14:textId="4A56F3EF" w:rsidR="3D9290ED" w:rsidRPr="00387207" w:rsidRDefault="40926A3C" w:rsidP="00FB4E86">
      <w:pPr>
        <w:pStyle w:val="ListParagraph"/>
        <w:rPr>
          <w:rFonts w:cs="Arial"/>
          <w:color w:val="auto"/>
          <w:sz w:val="22"/>
          <w:szCs w:val="22"/>
        </w:rPr>
      </w:pPr>
      <w:r w:rsidRPr="00387207">
        <w:rPr>
          <w:rFonts w:cs="Arial"/>
          <w:sz w:val="22"/>
          <w:szCs w:val="22"/>
        </w:rPr>
        <w:t>This report seeks Cabinet approval to join the LAHF</w:t>
      </w:r>
      <w:r w:rsidR="1E6F136D" w:rsidRPr="00387207">
        <w:rPr>
          <w:rFonts w:cs="Arial"/>
          <w:sz w:val="22"/>
          <w:szCs w:val="22"/>
        </w:rPr>
        <w:t xml:space="preserve"> </w:t>
      </w:r>
      <w:r w:rsidR="13A26CC8" w:rsidRPr="00387207">
        <w:rPr>
          <w:rFonts w:cs="Arial"/>
          <w:sz w:val="22"/>
          <w:szCs w:val="22"/>
        </w:rPr>
        <w:t>R</w:t>
      </w:r>
      <w:r w:rsidR="7F889ADE" w:rsidRPr="00387207">
        <w:rPr>
          <w:rFonts w:cs="Arial"/>
          <w:sz w:val="22"/>
          <w:szCs w:val="22"/>
        </w:rPr>
        <w:t>3</w:t>
      </w:r>
      <w:r w:rsidRPr="00387207">
        <w:rPr>
          <w:rFonts w:cs="Arial"/>
          <w:sz w:val="22"/>
          <w:szCs w:val="22"/>
        </w:rPr>
        <w:t xml:space="preserve">, and to recommend to Council for the approval of the necessary capital </w:t>
      </w:r>
      <w:r w:rsidR="50ABAD4B" w:rsidRPr="00387207">
        <w:rPr>
          <w:rFonts w:cs="Arial"/>
          <w:sz w:val="22"/>
          <w:szCs w:val="22"/>
        </w:rPr>
        <w:t xml:space="preserve">budget </w:t>
      </w:r>
      <w:r w:rsidRPr="00387207">
        <w:rPr>
          <w:rFonts w:cs="Arial"/>
          <w:sz w:val="22"/>
          <w:szCs w:val="22"/>
        </w:rPr>
        <w:t xml:space="preserve">to purchase the </w:t>
      </w:r>
      <w:r w:rsidR="5D1935F2" w:rsidRPr="00387207">
        <w:rPr>
          <w:rFonts w:cs="Arial"/>
          <w:sz w:val="22"/>
          <w:szCs w:val="22"/>
        </w:rPr>
        <w:t>homes and</w:t>
      </w:r>
      <w:r w:rsidR="765D8FAA" w:rsidRPr="00387207">
        <w:rPr>
          <w:rFonts w:cs="Arial"/>
          <w:sz w:val="22"/>
          <w:szCs w:val="22"/>
        </w:rPr>
        <w:t xml:space="preserve"> give the necessary delegated powers to complete the acquisitions.</w:t>
      </w:r>
      <w:r w:rsidR="451AC8D9" w:rsidRPr="00387207">
        <w:rPr>
          <w:rFonts w:cs="Arial"/>
          <w:sz w:val="22"/>
          <w:szCs w:val="22"/>
        </w:rPr>
        <w:t xml:space="preserve"> Appendix 1 details the Local Housing Authority Fund: Round </w:t>
      </w:r>
      <w:r w:rsidR="7F889ADE" w:rsidRPr="00387207">
        <w:rPr>
          <w:rFonts w:cs="Arial"/>
          <w:sz w:val="22"/>
          <w:szCs w:val="22"/>
        </w:rPr>
        <w:t>3</w:t>
      </w:r>
      <w:r w:rsidR="451AC8D9" w:rsidRPr="00387207">
        <w:rPr>
          <w:rFonts w:cs="Arial"/>
          <w:sz w:val="22"/>
          <w:szCs w:val="22"/>
        </w:rPr>
        <w:t xml:space="preserve"> Prospectus and Guidance</w:t>
      </w:r>
      <w:r w:rsidR="2D3B7CE3" w:rsidRPr="00387207">
        <w:rPr>
          <w:rFonts w:cs="Arial"/>
          <w:sz w:val="22"/>
          <w:szCs w:val="22"/>
        </w:rPr>
        <w:t xml:space="preserve"> for reference</w:t>
      </w:r>
      <w:r w:rsidR="451AC8D9" w:rsidRPr="00387207">
        <w:rPr>
          <w:rFonts w:cs="Arial"/>
          <w:sz w:val="22"/>
          <w:szCs w:val="22"/>
        </w:rPr>
        <w:t>.</w:t>
      </w:r>
      <w:r w:rsidR="765D8FAA" w:rsidRPr="00387207">
        <w:rPr>
          <w:rFonts w:cs="Arial"/>
          <w:sz w:val="22"/>
          <w:szCs w:val="22"/>
        </w:rPr>
        <w:t xml:space="preserve"> </w:t>
      </w:r>
    </w:p>
    <w:p w14:paraId="47150B5D" w14:textId="77777777" w:rsidR="009E4439" w:rsidRPr="00387207" w:rsidRDefault="009E4439" w:rsidP="009E4439">
      <w:pPr>
        <w:rPr>
          <w:rFonts w:cs="Arial"/>
          <w:color w:val="auto"/>
          <w:sz w:val="22"/>
          <w:szCs w:val="22"/>
        </w:rPr>
      </w:pPr>
    </w:p>
    <w:p w14:paraId="47CE0385" w14:textId="77777777" w:rsidR="009E4439" w:rsidRPr="00387207" w:rsidRDefault="009E4439" w:rsidP="009E4439">
      <w:pPr>
        <w:rPr>
          <w:rFonts w:cs="Arial"/>
          <w:color w:val="auto"/>
          <w:sz w:val="22"/>
          <w:szCs w:val="22"/>
        </w:rPr>
      </w:pPr>
    </w:p>
    <w:p w14:paraId="09DC509F" w14:textId="77777777" w:rsidR="009E4439" w:rsidRPr="00387207" w:rsidRDefault="009E4439" w:rsidP="009E4439">
      <w:pPr>
        <w:rPr>
          <w:rFonts w:cs="Arial"/>
          <w:color w:val="auto"/>
          <w:sz w:val="22"/>
          <w:szCs w:val="22"/>
        </w:rPr>
      </w:pPr>
    </w:p>
    <w:p w14:paraId="77841B6F" w14:textId="77777777" w:rsidR="009E4439" w:rsidRPr="00387207" w:rsidRDefault="009E4439" w:rsidP="009E4439">
      <w:pPr>
        <w:rPr>
          <w:rFonts w:cs="Arial"/>
          <w:color w:val="auto"/>
          <w:sz w:val="22"/>
          <w:szCs w:val="22"/>
        </w:rPr>
      </w:pPr>
    </w:p>
    <w:p w14:paraId="003855E2" w14:textId="77777777" w:rsidR="007E6D7B" w:rsidRPr="00387207" w:rsidRDefault="00197ECF" w:rsidP="007E6D7B">
      <w:pPr>
        <w:pStyle w:val="Heading1"/>
        <w:rPr>
          <w:rFonts w:cs="Arial"/>
          <w:sz w:val="22"/>
          <w:szCs w:val="22"/>
        </w:rPr>
      </w:pPr>
      <w:r w:rsidRPr="00387207">
        <w:rPr>
          <w:rFonts w:cs="Arial"/>
          <w:sz w:val="22"/>
          <w:szCs w:val="22"/>
        </w:rPr>
        <w:t>Background to Local Authority Housing Fund</w:t>
      </w:r>
      <w:r w:rsidR="008B41FF" w:rsidRPr="00387207">
        <w:rPr>
          <w:rFonts w:cs="Arial"/>
          <w:sz w:val="22"/>
          <w:szCs w:val="22"/>
        </w:rPr>
        <w:t xml:space="preserve"> Round </w:t>
      </w:r>
      <w:r w:rsidR="00066DC1" w:rsidRPr="00387207">
        <w:rPr>
          <w:rFonts w:cs="Arial"/>
          <w:sz w:val="22"/>
          <w:szCs w:val="22"/>
        </w:rPr>
        <w:t>3</w:t>
      </w:r>
    </w:p>
    <w:p w14:paraId="56D58A5C" w14:textId="4E192E36" w:rsidR="00C00820" w:rsidRPr="00387207" w:rsidRDefault="00C00820" w:rsidP="007E6D7B">
      <w:pPr>
        <w:pStyle w:val="ListParagraph"/>
        <w:rPr>
          <w:rFonts w:cs="Arial"/>
          <w:sz w:val="22"/>
          <w:szCs w:val="22"/>
        </w:rPr>
      </w:pPr>
      <w:r w:rsidRPr="00387207">
        <w:rPr>
          <w:rFonts w:cs="Arial"/>
          <w:sz w:val="22"/>
          <w:szCs w:val="22"/>
        </w:rPr>
        <w:t xml:space="preserve">The Council has seen a significant increase in demand for homelessness services in recent years and this in turn has increased the demand for emergency temporary accommodation including expensive hotel accommodation, required to meet the Council’s statutory duties.  Cabinet approved a report in July 2024, which updated on increasing use of temporary accommodation, with 246 households in temporary accommodation, of which 123 were in hotels and nightly charged accommodation, as of March 2024. </w:t>
      </w:r>
    </w:p>
    <w:p w14:paraId="16A519A5" w14:textId="5DCBA079" w:rsidR="00C00820" w:rsidRPr="00387207" w:rsidRDefault="00C00820" w:rsidP="007E6D7B">
      <w:pPr>
        <w:pStyle w:val="ListParagraph"/>
        <w:rPr>
          <w:rFonts w:cs="Arial"/>
          <w:sz w:val="22"/>
          <w:szCs w:val="22"/>
        </w:rPr>
      </w:pPr>
      <w:r w:rsidRPr="00387207">
        <w:rPr>
          <w:rFonts w:cs="Arial"/>
          <w:sz w:val="22"/>
          <w:szCs w:val="22"/>
        </w:rPr>
        <w:t>Participation in LAHF R3 will allow the Council to increase the number of temporary accommodation properties</w:t>
      </w:r>
      <w:r w:rsidR="00914B0C" w:rsidRPr="00387207">
        <w:rPr>
          <w:rFonts w:cs="Arial"/>
          <w:sz w:val="22"/>
          <w:szCs w:val="22"/>
        </w:rPr>
        <w:t xml:space="preserve"> through the ‘TA’ element of the fund</w:t>
      </w:r>
      <w:r w:rsidRPr="00387207">
        <w:rPr>
          <w:rFonts w:cs="Arial"/>
          <w:sz w:val="22"/>
          <w:szCs w:val="22"/>
        </w:rPr>
        <w:t xml:space="preserve">, reducing its reliance on expensive hotel placements and offering good quality self-contained accommodation to vulnerable homeless households. </w:t>
      </w:r>
    </w:p>
    <w:p w14:paraId="11AC05D9" w14:textId="00DD4069" w:rsidR="008B41FF" w:rsidRPr="00387207" w:rsidRDefault="1E6F136D" w:rsidP="009D2E5F">
      <w:pPr>
        <w:pStyle w:val="ListParagraph"/>
        <w:rPr>
          <w:rFonts w:cs="Arial"/>
          <w:sz w:val="22"/>
          <w:szCs w:val="22"/>
        </w:rPr>
      </w:pPr>
      <w:r w:rsidRPr="00387207">
        <w:rPr>
          <w:rFonts w:cs="Arial"/>
          <w:sz w:val="22"/>
          <w:szCs w:val="22"/>
        </w:rPr>
        <w:t>The UK has welcom</w:t>
      </w:r>
      <w:r w:rsidR="1B09826C" w:rsidRPr="00387207">
        <w:rPr>
          <w:rFonts w:cs="Arial"/>
          <w:sz w:val="22"/>
          <w:szCs w:val="22"/>
        </w:rPr>
        <w:t>ed</w:t>
      </w:r>
      <w:r w:rsidRPr="00387207">
        <w:rPr>
          <w:rFonts w:cs="Arial"/>
          <w:sz w:val="22"/>
          <w:szCs w:val="22"/>
        </w:rPr>
        <w:t xml:space="preserve"> around </w:t>
      </w:r>
      <w:r w:rsidR="3E680230" w:rsidRPr="00387207">
        <w:rPr>
          <w:rFonts w:cs="Arial"/>
          <w:sz w:val="22"/>
          <w:szCs w:val="22"/>
        </w:rPr>
        <w:t>29</w:t>
      </w:r>
      <w:r w:rsidR="40926A3C" w:rsidRPr="00387207">
        <w:rPr>
          <w:rFonts w:cs="Arial"/>
          <w:sz w:val="22"/>
          <w:szCs w:val="22"/>
        </w:rPr>
        <w:t>,000</w:t>
      </w:r>
      <w:r w:rsidR="00D119BA" w:rsidRPr="00387207">
        <w:rPr>
          <w:rStyle w:val="FootnoteReference"/>
          <w:rFonts w:cs="Arial"/>
          <w:sz w:val="22"/>
          <w:szCs w:val="22"/>
        </w:rPr>
        <w:footnoteReference w:id="2"/>
      </w:r>
      <w:r w:rsidR="40926A3C" w:rsidRPr="00387207">
        <w:rPr>
          <w:rFonts w:cs="Arial"/>
          <w:sz w:val="22"/>
          <w:szCs w:val="22"/>
        </w:rPr>
        <w:t xml:space="preserve"> Afghans</w:t>
      </w:r>
      <w:r w:rsidR="765D8FAA" w:rsidRPr="00387207">
        <w:rPr>
          <w:rFonts w:cs="Arial"/>
          <w:sz w:val="22"/>
          <w:szCs w:val="22"/>
        </w:rPr>
        <w:t xml:space="preserve"> nationally</w:t>
      </w:r>
      <w:r w:rsidR="52087DA0" w:rsidRPr="00387207">
        <w:rPr>
          <w:rFonts w:cs="Arial"/>
          <w:sz w:val="22"/>
          <w:szCs w:val="22"/>
        </w:rPr>
        <w:t xml:space="preserve"> </w:t>
      </w:r>
      <w:r w:rsidR="1B09826C" w:rsidRPr="00387207">
        <w:rPr>
          <w:rFonts w:cs="Arial"/>
          <w:sz w:val="22"/>
          <w:szCs w:val="22"/>
        </w:rPr>
        <w:t>who have fled the count</w:t>
      </w:r>
      <w:r w:rsidR="000D6EF2">
        <w:rPr>
          <w:rFonts w:cs="Arial"/>
          <w:sz w:val="22"/>
          <w:szCs w:val="22"/>
        </w:rPr>
        <w:t>r</w:t>
      </w:r>
      <w:r w:rsidR="1B09826C" w:rsidRPr="00387207">
        <w:rPr>
          <w:rFonts w:cs="Arial"/>
          <w:sz w:val="22"/>
          <w:szCs w:val="22"/>
        </w:rPr>
        <w:t>y following the Taliban takeover</w:t>
      </w:r>
      <w:r w:rsidR="52087DA0" w:rsidRPr="00387207">
        <w:rPr>
          <w:rFonts w:cs="Arial"/>
          <w:sz w:val="22"/>
          <w:szCs w:val="22"/>
        </w:rPr>
        <w:t>,</w:t>
      </w:r>
      <w:r w:rsidR="1B09826C" w:rsidRPr="00387207">
        <w:rPr>
          <w:rFonts w:cs="Arial"/>
          <w:sz w:val="22"/>
          <w:szCs w:val="22"/>
        </w:rPr>
        <w:t xml:space="preserve"> due to the risk they will be persecuted </w:t>
      </w:r>
      <w:r w:rsidR="008C54BD" w:rsidRPr="00387207">
        <w:rPr>
          <w:rFonts w:cs="Arial"/>
          <w:sz w:val="22"/>
          <w:szCs w:val="22"/>
        </w:rPr>
        <w:t>for</w:t>
      </w:r>
      <w:r w:rsidR="1B09826C" w:rsidRPr="00387207">
        <w:rPr>
          <w:rFonts w:cs="Arial"/>
          <w:sz w:val="22"/>
          <w:szCs w:val="22"/>
        </w:rPr>
        <w:t xml:space="preserve"> supporting the former government and the British presence in the country.</w:t>
      </w:r>
      <w:r w:rsidR="3F9751C2" w:rsidRPr="00387207">
        <w:rPr>
          <w:rFonts w:cs="Arial"/>
          <w:sz w:val="22"/>
          <w:szCs w:val="22"/>
        </w:rPr>
        <w:t xml:space="preserve"> </w:t>
      </w:r>
    </w:p>
    <w:p w14:paraId="0BE5D0BC" w14:textId="60C15AE5" w:rsidR="009F0C7B" w:rsidRPr="00387207" w:rsidRDefault="765D8FAA" w:rsidP="00906B05">
      <w:pPr>
        <w:pStyle w:val="ListParagraph"/>
        <w:rPr>
          <w:rFonts w:cs="Arial"/>
          <w:sz w:val="22"/>
          <w:szCs w:val="22"/>
        </w:rPr>
      </w:pPr>
      <w:r w:rsidRPr="00387207">
        <w:rPr>
          <w:rFonts w:cs="Arial"/>
          <w:sz w:val="22"/>
          <w:szCs w:val="22"/>
        </w:rPr>
        <w:t xml:space="preserve">Locally, </w:t>
      </w:r>
      <w:r w:rsidR="686B3BFC" w:rsidRPr="00387207">
        <w:rPr>
          <w:rFonts w:cs="Arial"/>
          <w:sz w:val="22"/>
          <w:szCs w:val="22"/>
          <w:lang w:eastAsia="en-US"/>
        </w:rPr>
        <w:t>Oxford C</w:t>
      </w:r>
      <w:r w:rsidR="40926A3C" w:rsidRPr="00387207">
        <w:rPr>
          <w:rFonts w:cs="Arial"/>
          <w:sz w:val="22"/>
          <w:szCs w:val="22"/>
          <w:lang w:eastAsia="en-US"/>
        </w:rPr>
        <w:t>ity</w:t>
      </w:r>
      <w:r w:rsidR="13A26CC8" w:rsidRPr="00387207">
        <w:rPr>
          <w:rFonts w:cs="Arial"/>
          <w:sz w:val="22"/>
          <w:szCs w:val="22"/>
          <w:lang w:eastAsia="en-US"/>
        </w:rPr>
        <w:t xml:space="preserve"> Council has </w:t>
      </w:r>
      <w:r w:rsidR="06A38197" w:rsidRPr="00387207">
        <w:rPr>
          <w:rFonts w:cs="Arial"/>
          <w:sz w:val="22"/>
          <w:szCs w:val="22"/>
          <w:lang w:eastAsia="en-US"/>
        </w:rPr>
        <w:t xml:space="preserve">now directly </w:t>
      </w:r>
      <w:r w:rsidR="13A26CC8" w:rsidRPr="00387207">
        <w:rPr>
          <w:rFonts w:cs="Arial"/>
          <w:sz w:val="22"/>
          <w:szCs w:val="22"/>
          <w:lang w:eastAsia="en-US"/>
        </w:rPr>
        <w:t xml:space="preserve">supported </w:t>
      </w:r>
      <w:r w:rsidR="2DB0D84C" w:rsidRPr="00387207">
        <w:rPr>
          <w:rFonts w:cs="Arial"/>
          <w:sz w:val="22"/>
          <w:szCs w:val="22"/>
          <w:lang w:eastAsia="en-US"/>
        </w:rPr>
        <w:t xml:space="preserve">57 </w:t>
      </w:r>
      <w:r w:rsidRPr="00387207">
        <w:rPr>
          <w:rFonts w:cs="Arial"/>
          <w:sz w:val="22"/>
          <w:szCs w:val="22"/>
          <w:lang w:eastAsia="en-US"/>
        </w:rPr>
        <w:t>families under refugee resettlement</w:t>
      </w:r>
      <w:r w:rsidR="1B09826C" w:rsidRPr="00387207">
        <w:rPr>
          <w:rFonts w:cs="Arial"/>
          <w:sz w:val="22"/>
          <w:szCs w:val="22"/>
          <w:lang w:eastAsia="en-US"/>
        </w:rPr>
        <w:t xml:space="preserve"> schemes</w:t>
      </w:r>
      <w:r w:rsidRPr="00387207">
        <w:rPr>
          <w:rFonts w:cs="Arial"/>
          <w:sz w:val="22"/>
          <w:szCs w:val="22"/>
          <w:lang w:eastAsia="en-US"/>
        </w:rPr>
        <w:t xml:space="preserve"> from Syria, </w:t>
      </w:r>
      <w:r w:rsidR="5D1935F2" w:rsidRPr="00387207">
        <w:rPr>
          <w:rFonts w:cs="Arial"/>
          <w:sz w:val="22"/>
          <w:szCs w:val="22"/>
          <w:lang w:eastAsia="en-US"/>
        </w:rPr>
        <w:t>Afghanistan,</w:t>
      </w:r>
      <w:r w:rsidRPr="00387207">
        <w:rPr>
          <w:rFonts w:cs="Arial"/>
          <w:sz w:val="22"/>
          <w:szCs w:val="22"/>
          <w:lang w:eastAsia="en-US"/>
        </w:rPr>
        <w:t xml:space="preserve"> and other countries</w:t>
      </w:r>
      <w:r w:rsidR="5885FF52" w:rsidRPr="00387207">
        <w:rPr>
          <w:rFonts w:cs="Arial"/>
          <w:sz w:val="22"/>
          <w:szCs w:val="22"/>
          <w:lang w:eastAsia="en-US"/>
        </w:rPr>
        <w:t xml:space="preserve"> and in doing so </w:t>
      </w:r>
      <w:r w:rsidR="5B178940" w:rsidRPr="00387207">
        <w:rPr>
          <w:rFonts w:cs="Arial"/>
          <w:sz w:val="22"/>
          <w:szCs w:val="22"/>
          <w:lang w:eastAsia="en-US"/>
        </w:rPr>
        <w:t xml:space="preserve">those </w:t>
      </w:r>
      <w:r w:rsidR="5D1935F2" w:rsidRPr="00387207">
        <w:rPr>
          <w:rFonts w:cs="Arial"/>
          <w:sz w:val="22"/>
          <w:szCs w:val="22"/>
          <w:lang w:eastAsia="en-US"/>
        </w:rPr>
        <w:t>families</w:t>
      </w:r>
      <w:r w:rsidR="5B178940" w:rsidRPr="00387207">
        <w:rPr>
          <w:rFonts w:cs="Arial"/>
          <w:sz w:val="22"/>
          <w:szCs w:val="22"/>
          <w:lang w:eastAsia="en-US"/>
        </w:rPr>
        <w:t xml:space="preserve"> have </w:t>
      </w:r>
      <w:r w:rsidR="5885FF52" w:rsidRPr="00387207">
        <w:rPr>
          <w:rFonts w:cs="Arial"/>
          <w:sz w:val="22"/>
          <w:szCs w:val="22"/>
          <w:lang w:eastAsia="en-US"/>
        </w:rPr>
        <w:t>successfully ma</w:t>
      </w:r>
      <w:r w:rsidR="55634980" w:rsidRPr="00387207">
        <w:rPr>
          <w:rFonts w:cs="Arial"/>
          <w:sz w:val="22"/>
          <w:szCs w:val="22"/>
          <w:lang w:eastAsia="en-US"/>
        </w:rPr>
        <w:t>de</w:t>
      </w:r>
      <w:r w:rsidRPr="00387207">
        <w:rPr>
          <w:rFonts w:cs="Arial"/>
          <w:sz w:val="22"/>
          <w:szCs w:val="22"/>
          <w:lang w:eastAsia="en-US"/>
        </w:rPr>
        <w:t xml:space="preserve"> Oxford their home. </w:t>
      </w:r>
      <w:r w:rsidR="55634980" w:rsidRPr="00387207">
        <w:rPr>
          <w:rFonts w:cs="Arial"/>
          <w:sz w:val="22"/>
          <w:szCs w:val="22"/>
          <w:lang w:eastAsia="en-US"/>
        </w:rPr>
        <w:t>Supporting refugee resettlement is aligned to the Council’s strategy, and taking part in these government schemes help</w:t>
      </w:r>
      <w:r w:rsidR="5B178940" w:rsidRPr="00387207">
        <w:rPr>
          <w:rFonts w:cs="Arial"/>
          <w:sz w:val="22"/>
          <w:szCs w:val="22"/>
          <w:lang w:eastAsia="en-US"/>
        </w:rPr>
        <w:t>s</w:t>
      </w:r>
      <w:r w:rsidR="55634980" w:rsidRPr="00387207">
        <w:rPr>
          <w:rFonts w:cs="Arial"/>
          <w:sz w:val="22"/>
          <w:szCs w:val="22"/>
          <w:lang w:eastAsia="en-US"/>
        </w:rPr>
        <w:t xml:space="preserve"> ensure grant funding is received to adequately house and support these families as they settle in the </w:t>
      </w:r>
      <w:r w:rsidR="645EFDAD" w:rsidRPr="00387207">
        <w:rPr>
          <w:rFonts w:cs="Arial"/>
          <w:sz w:val="22"/>
          <w:szCs w:val="22"/>
          <w:lang w:eastAsia="en-US"/>
        </w:rPr>
        <w:t>c</w:t>
      </w:r>
      <w:r w:rsidR="55634980" w:rsidRPr="00387207">
        <w:rPr>
          <w:rFonts w:cs="Arial"/>
          <w:sz w:val="22"/>
          <w:szCs w:val="22"/>
          <w:lang w:eastAsia="en-US"/>
        </w:rPr>
        <w:t xml:space="preserve">ity. </w:t>
      </w:r>
    </w:p>
    <w:p w14:paraId="65AF96EB" w14:textId="44EFECF4" w:rsidR="00362364" w:rsidRPr="00387207" w:rsidRDefault="000B2581" w:rsidP="009F0C7B">
      <w:pPr>
        <w:pStyle w:val="ListParagraph"/>
        <w:rPr>
          <w:rFonts w:cs="Arial"/>
          <w:sz w:val="22"/>
          <w:szCs w:val="22"/>
        </w:rPr>
      </w:pPr>
      <w:r w:rsidRPr="00387207">
        <w:rPr>
          <w:rFonts w:cs="Arial"/>
          <w:sz w:val="22"/>
          <w:szCs w:val="22"/>
        </w:rPr>
        <w:t xml:space="preserve">Access into the private rented sector will be the most </w:t>
      </w:r>
      <w:r w:rsidR="00517CD9" w:rsidRPr="00387207">
        <w:rPr>
          <w:rFonts w:cs="Arial"/>
          <w:sz w:val="22"/>
          <w:szCs w:val="22"/>
        </w:rPr>
        <w:t>important</w:t>
      </w:r>
      <w:r w:rsidRPr="00387207">
        <w:rPr>
          <w:rFonts w:cs="Arial"/>
          <w:sz w:val="22"/>
          <w:szCs w:val="22"/>
        </w:rPr>
        <w:t xml:space="preserve"> </w:t>
      </w:r>
      <w:r w:rsidR="00517CD9" w:rsidRPr="00387207">
        <w:rPr>
          <w:rFonts w:cs="Arial"/>
          <w:sz w:val="22"/>
          <w:szCs w:val="22"/>
        </w:rPr>
        <w:t>option</w:t>
      </w:r>
      <w:r w:rsidRPr="00387207">
        <w:rPr>
          <w:rFonts w:cs="Arial"/>
          <w:sz w:val="22"/>
          <w:szCs w:val="22"/>
        </w:rPr>
        <w:t xml:space="preserve"> for many</w:t>
      </w:r>
      <w:r w:rsidR="00AC6D84" w:rsidRPr="00387207">
        <w:rPr>
          <w:rFonts w:cs="Arial"/>
          <w:sz w:val="22"/>
          <w:szCs w:val="22"/>
        </w:rPr>
        <w:t xml:space="preserve"> refugee</w:t>
      </w:r>
      <w:r w:rsidRPr="00387207">
        <w:rPr>
          <w:rFonts w:cs="Arial"/>
          <w:sz w:val="22"/>
          <w:szCs w:val="22"/>
        </w:rPr>
        <w:t xml:space="preserve"> </w:t>
      </w:r>
      <w:r w:rsidR="00517CD9" w:rsidRPr="00387207">
        <w:rPr>
          <w:rFonts w:cs="Arial"/>
          <w:sz w:val="22"/>
          <w:szCs w:val="22"/>
        </w:rPr>
        <w:t>households</w:t>
      </w:r>
      <w:r w:rsidRPr="00387207">
        <w:rPr>
          <w:rFonts w:cs="Arial"/>
          <w:sz w:val="22"/>
          <w:szCs w:val="22"/>
        </w:rPr>
        <w:t xml:space="preserve"> and work </w:t>
      </w:r>
      <w:r w:rsidR="00517CD9" w:rsidRPr="00387207">
        <w:rPr>
          <w:rFonts w:cs="Arial"/>
          <w:sz w:val="22"/>
          <w:szCs w:val="22"/>
        </w:rPr>
        <w:t>across</w:t>
      </w:r>
      <w:r w:rsidRPr="00387207">
        <w:rPr>
          <w:rFonts w:cs="Arial"/>
          <w:sz w:val="22"/>
          <w:szCs w:val="22"/>
        </w:rPr>
        <w:t xml:space="preserve"> Oxfordshire is underway to support </w:t>
      </w:r>
      <w:r w:rsidR="00517CD9" w:rsidRPr="00387207">
        <w:rPr>
          <w:rFonts w:cs="Arial"/>
          <w:sz w:val="22"/>
          <w:szCs w:val="22"/>
        </w:rPr>
        <w:t xml:space="preserve">access into the sector with support with deposits and rent in advance, but the opportunity from </w:t>
      </w:r>
      <w:r w:rsidR="00015399" w:rsidRPr="00387207">
        <w:rPr>
          <w:rFonts w:cs="Arial"/>
          <w:sz w:val="22"/>
          <w:szCs w:val="22"/>
        </w:rPr>
        <w:t>LAHF</w:t>
      </w:r>
      <w:r w:rsidR="008B41FF" w:rsidRPr="00387207">
        <w:rPr>
          <w:rFonts w:cs="Arial"/>
          <w:sz w:val="22"/>
          <w:szCs w:val="22"/>
        </w:rPr>
        <w:t xml:space="preserve"> R</w:t>
      </w:r>
      <w:r w:rsidR="00362364" w:rsidRPr="00387207">
        <w:rPr>
          <w:rFonts w:cs="Arial"/>
          <w:sz w:val="22"/>
          <w:szCs w:val="22"/>
        </w:rPr>
        <w:t>3</w:t>
      </w:r>
      <w:r w:rsidR="00564A5B" w:rsidRPr="00387207">
        <w:rPr>
          <w:rFonts w:cs="Arial"/>
          <w:sz w:val="22"/>
          <w:szCs w:val="22"/>
        </w:rPr>
        <w:t xml:space="preserve"> </w:t>
      </w:r>
      <w:r w:rsidR="00517CD9" w:rsidRPr="00387207">
        <w:rPr>
          <w:rFonts w:cs="Arial"/>
          <w:sz w:val="22"/>
          <w:szCs w:val="22"/>
        </w:rPr>
        <w:t xml:space="preserve">is that it will </w:t>
      </w:r>
      <w:r w:rsidR="00564A5B" w:rsidRPr="00387207">
        <w:rPr>
          <w:rFonts w:cs="Arial"/>
          <w:sz w:val="22"/>
          <w:szCs w:val="22"/>
        </w:rPr>
        <w:t xml:space="preserve">allow the </w:t>
      </w:r>
      <w:r w:rsidR="00DA3E7F" w:rsidRPr="00387207">
        <w:rPr>
          <w:rFonts w:cs="Arial"/>
          <w:sz w:val="22"/>
          <w:szCs w:val="22"/>
        </w:rPr>
        <w:t>Council</w:t>
      </w:r>
      <w:r w:rsidR="008B41FF" w:rsidRPr="00387207">
        <w:rPr>
          <w:rFonts w:cs="Arial"/>
          <w:sz w:val="22"/>
          <w:szCs w:val="22"/>
        </w:rPr>
        <w:t xml:space="preserve"> to purchase</w:t>
      </w:r>
      <w:r w:rsidR="00564A5B" w:rsidRPr="00387207">
        <w:rPr>
          <w:rFonts w:cs="Arial"/>
          <w:sz w:val="22"/>
          <w:szCs w:val="22"/>
        </w:rPr>
        <w:t xml:space="preserve"> properties </w:t>
      </w:r>
      <w:r w:rsidR="00517CD9" w:rsidRPr="00387207">
        <w:rPr>
          <w:rFonts w:cs="Arial"/>
          <w:sz w:val="22"/>
          <w:szCs w:val="22"/>
        </w:rPr>
        <w:t xml:space="preserve">to offer as affordable </w:t>
      </w:r>
      <w:r w:rsidR="008B41FF" w:rsidRPr="00387207">
        <w:rPr>
          <w:rFonts w:cs="Arial"/>
          <w:sz w:val="22"/>
          <w:szCs w:val="22"/>
        </w:rPr>
        <w:t xml:space="preserve">housing for Afghan refugees </w:t>
      </w:r>
      <w:r w:rsidR="002C1EF5" w:rsidRPr="00387207">
        <w:rPr>
          <w:rFonts w:cs="Arial"/>
          <w:sz w:val="22"/>
          <w:szCs w:val="22"/>
        </w:rPr>
        <w:t>from the ‘</w:t>
      </w:r>
      <w:r w:rsidR="004760F3" w:rsidRPr="00387207">
        <w:rPr>
          <w:rFonts w:cs="Arial"/>
          <w:sz w:val="22"/>
          <w:szCs w:val="22"/>
        </w:rPr>
        <w:t>resettlement’</w:t>
      </w:r>
      <w:r w:rsidR="002C1EF5" w:rsidRPr="00387207">
        <w:rPr>
          <w:rFonts w:cs="Arial"/>
          <w:sz w:val="22"/>
          <w:szCs w:val="22"/>
        </w:rPr>
        <w:t xml:space="preserve"> element of the fund, </w:t>
      </w:r>
      <w:r w:rsidR="008B41FF" w:rsidRPr="00387207">
        <w:rPr>
          <w:rFonts w:cs="Arial"/>
          <w:sz w:val="22"/>
          <w:szCs w:val="22"/>
        </w:rPr>
        <w:t>as w</w:t>
      </w:r>
      <w:r w:rsidR="00500307" w:rsidRPr="00387207">
        <w:rPr>
          <w:rFonts w:cs="Arial"/>
          <w:sz w:val="22"/>
          <w:szCs w:val="22"/>
        </w:rPr>
        <w:t>ell as assisting</w:t>
      </w:r>
      <w:r w:rsidR="008B41FF" w:rsidRPr="00387207">
        <w:rPr>
          <w:rFonts w:cs="Arial"/>
          <w:sz w:val="22"/>
          <w:szCs w:val="22"/>
        </w:rPr>
        <w:t xml:space="preserve"> with wider homelessness pressure</w:t>
      </w:r>
      <w:r w:rsidR="000D6EF2">
        <w:rPr>
          <w:rFonts w:cs="Arial"/>
          <w:sz w:val="22"/>
          <w:szCs w:val="22"/>
        </w:rPr>
        <w:t>s</w:t>
      </w:r>
      <w:r w:rsidR="008B41FF" w:rsidRPr="00387207">
        <w:rPr>
          <w:rFonts w:cs="Arial"/>
          <w:sz w:val="22"/>
          <w:szCs w:val="22"/>
        </w:rPr>
        <w:t>.</w:t>
      </w:r>
    </w:p>
    <w:p w14:paraId="3467DCBB" w14:textId="6C9119F6" w:rsidR="00197ECF" w:rsidRPr="00387207" w:rsidRDefault="00517CD9" w:rsidP="00197ECF">
      <w:pPr>
        <w:rPr>
          <w:rFonts w:cs="Arial"/>
          <w:b/>
          <w:sz w:val="22"/>
          <w:szCs w:val="22"/>
        </w:rPr>
      </w:pPr>
      <w:r w:rsidRPr="00387207">
        <w:rPr>
          <w:rFonts w:cs="Arial"/>
          <w:b/>
          <w:sz w:val="22"/>
          <w:szCs w:val="22"/>
        </w:rPr>
        <w:t>Local Authority Housing Fund</w:t>
      </w:r>
      <w:r w:rsidR="008B41FF" w:rsidRPr="00387207">
        <w:rPr>
          <w:rFonts w:cs="Arial"/>
          <w:b/>
          <w:sz w:val="22"/>
          <w:szCs w:val="22"/>
        </w:rPr>
        <w:t xml:space="preserve"> Round </w:t>
      </w:r>
      <w:r w:rsidR="009D13B1" w:rsidRPr="00387207">
        <w:rPr>
          <w:rFonts w:cs="Arial"/>
          <w:b/>
          <w:sz w:val="22"/>
          <w:szCs w:val="22"/>
        </w:rPr>
        <w:t>3</w:t>
      </w:r>
      <w:r w:rsidRPr="00387207">
        <w:rPr>
          <w:rFonts w:cs="Arial"/>
          <w:b/>
          <w:sz w:val="22"/>
          <w:szCs w:val="22"/>
        </w:rPr>
        <w:t xml:space="preserve"> investment </w:t>
      </w:r>
    </w:p>
    <w:p w14:paraId="20846FFD" w14:textId="445CDE33" w:rsidR="008F7055" w:rsidRPr="00387207" w:rsidRDefault="6A8B5E35" w:rsidP="00880381">
      <w:pPr>
        <w:pStyle w:val="ListParagraph"/>
        <w:rPr>
          <w:rFonts w:cs="Arial"/>
          <w:sz w:val="22"/>
          <w:szCs w:val="22"/>
        </w:rPr>
      </w:pPr>
      <w:r w:rsidRPr="00387207">
        <w:rPr>
          <w:rFonts w:cs="Arial"/>
          <w:sz w:val="22"/>
          <w:szCs w:val="22"/>
        </w:rPr>
        <w:t>The Government announced the creation of LAHF</w:t>
      </w:r>
      <w:r w:rsidR="008B41FF" w:rsidRPr="00387207">
        <w:rPr>
          <w:rFonts w:cs="Arial"/>
          <w:sz w:val="22"/>
          <w:szCs w:val="22"/>
        </w:rPr>
        <w:t xml:space="preserve"> R</w:t>
      </w:r>
      <w:r w:rsidR="009D13B1" w:rsidRPr="00387207">
        <w:rPr>
          <w:rFonts w:cs="Arial"/>
          <w:sz w:val="22"/>
          <w:szCs w:val="22"/>
        </w:rPr>
        <w:t>3</w:t>
      </w:r>
      <w:r w:rsidR="008B41FF" w:rsidRPr="00387207">
        <w:rPr>
          <w:rFonts w:cs="Arial"/>
          <w:sz w:val="22"/>
          <w:szCs w:val="22"/>
        </w:rPr>
        <w:t xml:space="preserve"> in March 202</w:t>
      </w:r>
      <w:r w:rsidR="0029462C" w:rsidRPr="00387207">
        <w:rPr>
          <w:rFonts w:cs="Arial"/>
          <w:sz w:val="22"/>
          <w:szCs w:val="22"/>
        </w:rPr>
        <w:t xml:space="preserve">4, however confirmation of the </w:t>
      </w:r>
      <w:r w:rsidR="004F6A33" w:rsidRPr="00387207">
        <w:rPr>
          <w:rFonts w:cs="Arial"/>
          <w:sz w:val="22"/>
          <w:szCs w:val="22"/>
        </w:rPr>
        <w:t>grant funding allocated to Local Authorities was delayed until August 2024 due to the general election period</w:t>
      </w:r>
      <w:r w:rsidR="008B41FF" w:rsidRPr="00387207">
        <w:rPr>
          <w:rFonts w:cs="Arial"/>
          <w:sz w:val="22"/>
          <w:szCs w:val="22"/>
        </w:rPr>
        <w:t>.</w:t>
      </w:r>
      <w:r w:rsidRPr="00387207">
        <w:rPr>
          <w:rFonts w:cs="Arial"/>
          <w:sz w:val="22"/>
          <w:szCs w:val="22"/>
        </w:rPr>
        <w:t xml:space="preserve"> The objectives of the fund are </w:t>
      </w:r>
      <w:r w:rsidR="00E912C9" w:rsidRPr="00387207">
        <w:rPr>
          <w:rFonts w:cs="Arial"/>
          <w:sz w:val="22"/>
          <w:szCs w:val="22"/>
        </w:rPr>
        <w:t xml:space="preserve">to reduce wider homelessness pressures by increasing the supply of temporary accommodation and </w:t>
      </w:r>
      <w:r w:rsidRPr="00387207">
        <w:rPr>
          <w:rFonts w:cs="Arial"/>
          <w:sz w:val="22"/>
          <w:szCs w:val="22"/>
        </w:rPr>
        <w:t xml:space="preserve">to </w:t>
      </w:r>
      <w:r w:rsidR="008B41FF" w:rsidRPr="00387207">
        <w:rPr>
          <w:rFonts w:cs="Arial"/>
          <w:sz w:val="22"/>
          <w:szCs w:val="22"/>
        </w:rPr>
        <w:t>help resettle Afghan refugee</w:t>
      </w:r>
      <w:r w:rsidR="005675B0" w:rsidRPr="00387207">
        <w:rPr>
          <w:rFonts w:cs="Arial"/>
          <w:sz w:val="22"/>
          <w:szCs w:val="22"/>
        </w:rPr>
        <w:t>s</w:t>
      </w:r>
      <w:r w:rsidR="008B41FF" w:rsidRPr="00387207">
        <w:rPr>
          <w:rFonts w:cs="Arial"/>
          <w:sz w:val="22"/>
          <w:szCs w:val="22"/>
        </w:rPr>
        <w:t xml:space="preserve"> who have arrived under the </w:t>
      </w:r>
      <w:r w:rsidR="00A518EF" w:rsidRPr="00387207">
        <w:rPr>
          <w:rFonts w:cs="Arial"/>
          <w:sz w:val="22"/>
          <w:szCs w:val="22"/>
        </w:rPr>
        <w:t>Afghan Citizens Resettlement Scheme (ACRS)</w:t>
      </w:r>
      <w:r w:rsidR="00500307" w:rsidRPr="00387207">
        <w:rPr>
          <w:rFonts w:cs="Arial"/>
          <w:sz w:val="22"/>
          <w:szCs w:val="22"/>
        </w:rPr>
        <w:t>.</w:t>
      </w:r>
      <w:r w:rsidR="00880381" w:rsidRPr="00387207">
        <w:rPr>
          <w:rFonts w:cs="Arial"/>
          <w:sz w:val="22"/>
          <w:szCs w:val="22"/>
        </w:rPr>
        <w:t xml:space="preserve"> </w:t>
      </w:r>
    </w:p>
    <w:p w14:paraId="6E451658" w14:textId="4C4F681A" w:rsidR="00A9634D" w:rsidRPr="00387207" w:rsidRDefault="7EDFE2F2" w:rsidP="005E5623">
      <w:pPr>
        <w:pStyle w:val="ListParagraph"/>
        <w:rPr>
          <w:rFonts w:cs="Arial"/>
          <w:sz w:val="22"/>
          <w:szCs w:val="22"/>
        </w:rPr>
      </w:pPr>
      <w:r w:rsidRPr="00387207">
        <w:rPr>
          <w:rFonts w:cs="Arial"/>
          <w:sz w:val="22"/>
          <w:szCs w:val="22"/>
        </w:rPr>
        <w:t xml:space="preserve">Being part of LAHF </w:t>
      </w:r>
      <w:r w:rsidR="67AC4B60" w:rsidRPr="00387207">
        <w:rPr>
          <w:rFonts w:cs="Arial"/>
          <w:sz w:val="22"/>
          <w:szCs w:val="22"/>
        </w:rPr>
        <w:t>3</w:t>
      </w:r>
      <w:r w:rsidRPr="00387207">
        <w:rPr>
          <w:rFonts w:cs="Arial"/>
          <w:sz w:val="22"/>
          <w:szCs w:val="22"/>
        </w:rPr>
        <w:t xml:space="preserve"> will provide a significant amount of grant </w:t>
      </w:r>
      <w:r w:rsidR="40C907DD" w:rsidRPr="00387207">
        <w:rPr>
          <w:rFonts w:cs="Arial"/>
          <w:sz w:val="22"/>
          <w:szCs w:val="22"/>
        </w:rPr>
        <w:t>funding to enable</w:t>
      </w:r>
      <w:r w:rsidR="000D6EF2">
        <w:rPr>
          <w:rFonts w:cs="Arial"/>
          <w:sz w:val="22"/>
          <w:szCs w:val="22"/>
        </w:rPr>
        <w:t xml:space="preserve"> the Council</w:t>
      </w:r>
      <w:r w:rsidR="40C907DD" w:rsidRPr="00387207">
        <w:rPr>
          <w:rFonts w:cs="Arial"/>
          <w:sz w:val="22"/>
          <w:szCs w:val="22"/>
        </w:rPr>
        <w:t xml:space="preserve"> to purchase more homes to rent at an affordable rate, </w:t>
      </w:r>
      <w:r w:rsidR="332F3E23" w:rsidRPr="00387207">
        <w:rPr>
          <w:rFonts w:cs="Arial"/>
          <w:sz w:val="22"/>
          <w:szCs w:val="22"/>
        </w:rPr>
        <w:t xml:space="preserve">to help meet </w:t>
      </w:r>
      <w:r w:rsidR="21B81678" w:rsidRPr="00387207">
        <w:rPr>
          <w:rFonts w:cs="Arial"/>
          <w:sz w:val="22"/>
          <w:szCs w:val="22"/>
        </w:rPr>
        <w:t xml:space="preserve">the </w:t>
      </w:r>
      <w:r w:rsidR="332F3E23" w:rsidRPr="00387207">
        <w:rPr>
          <w:rFonts w:cs="Arial"/>
          <w:sz w:val="22"/>
          <w:szCs w:val="22"/>
        </w:rPr>
        <w:t xml:space="preserve">wider corporate commitment </w:t>
      </w:r>
      <w:r w:rsidR="21B81678" w:rsidRPr="00387207">
        <w:rPr>
          <w:rFonts w:cs="Arial"/>
          <w:sz w:val="22"/>
          <w:szCs w:val="22"/>
        </w:rPr>
        <w:t>to</w:t>
      </w:r>
      <w:r w:rsidR="332F3E23" w:rsidRPr="00387207">
        <w:rPr>
          <w:rFonts w:cs="Arial"/>
          <w:sz w:val="22"/>
          <w:szCs w:val="22"/>
        </w:rPr>
        <w:t xml:space="preserve"> refugee resettlement as well as</w:t>
      </w:r>
      <w:r w:rsidR="40926A3C" w:rsidRPr="00387207">
        <w:rPr>
          <w:rFonts w:cs="Arial"/>
          <w:sz w:val="22"/>
          <w:szCs w:val="22"/>
        </w:rPr>
        <w:t xml:space="preserve"> reduce temporary accommodation costs</w:t>
      </w:r>
      <w:r w:rsidR="332F3E23" w:rsidRPr="00387207">
        <w:rPr>
          <w:rFonts w:cs="Arial"/>
          <w:sz w:val="22"/>
          <w:szCs w:val="22"/>
        </w:rPr>
        <w:t>.</w:t>
      </w:r>
      <w:r w:rsidR="00025FB5" w:rsidRPr="00387207">
        <w:rPr>
          <w:rFonts w:cs="Arial"/>
          <w:sz w:val="22"/>
          <w:szCs w:val="22"/>
        </w:rPr>
        <w:t xml:space="preserve"> </w:t>
      </w:r>
      <w:r w:rsidR="40926A3C" w:rsidRPr="00387207">
        <w:rPr>
          <w:rFonts w:cs="Arial"/>
          <w:sz w:val="22"/>
          <w:szCs w:val="22"/>
        </w:rPr>
        <w:t>The fund also brings the benefit that once the</w:t>
      </w:r>
      <w:r w:rsidR="686B3BFC" w:rsidRPr="00387207">
        <w:rPr>
          <w:rFonts w:cs="Arial"/>
          <w:sz w:val="22"/>
          <w:szCs w:val="22"/>
        </w:rPr>
        <w:t xml:space="preserve"> household </w:t>
      </w:r>
      <w:r w:rsidR="40926A3C" w:rsidRPr="00387207">
        <w:rPr>
          <w:rFonts w:cs="Arial"/>
          <w:sz w:val="22"/>
          <w:szCs w:val="22"/>
        </w:rPr>
        <w:t xml:space="preserve">chooses to move on from the accommodation, the unit will return to the Council’s housing stock for re-letting open to anyone in general need, so </w:t>
      </w:r>
      <w:r w:rsidR="5B178940" w:rsidRPr="00387207">
        <w:rPr>
          <w:rFonts w:cs="Arial"/>
          <w:sz w:val="22"/>
          <w:szCs w:val="22"/>
        </w:rPr>
        <w:t xml:space="preserve">that the Council will be </w:t>
      </w:r>
      <w:r w:rsidR="40926A3C" w:rsidRPr="00387207">
        <w:rPr>
          <w:rFonts w:cs="Arial"/>
          <w:sz w:val="22"/>
          <w:szCs w:val="22"/>
        </w:rPr>
        <w:t xml:space="preserve">able to meet wider housing </w:t>
      </w:r>
      <w:r w:rsidR="21B81678" w:rsidRPr="00387207">
        <w:rPr>
          <w:rFonts w:cs="Arial"/>
          <w:sz w:val="22"/>
          <w:szCs w:val="22"/>
        </w:rPr>
        <w:t>needs</w:t>
      </w:r>
      <w:r w:rsidR="40926A3C" w:rsidRPr="00387207">
        <w:rPr>
          <w:rFonts w:cs="Arial"/>
          <w:sz w:val="22"/>
          <w:szCs w:val="22"/>
        </w:rPr>
        <w:t xml:space="preserve"> into the future. </w:t>
      </w:r>
    </w:p>
    <w:p w14:paraId="0B8D6C13" w14:textId="253DFFE9" w:rsidR="00025FB5" w:rsidRPr="00387207" w:rsidRDefault="002242E2" w:rsidP="005E5623">
      <w:pPr>
        <w:pStyle w:val="ListParagraph"/>
        <w:rPr>
          <w:rFonts w:cs="Arial"/>
          <w:sz w:val="22"/>
          <w:szCs w:val="22"/>
        </w:rPr>
      </w:pPr>
      <w:r w:rsidRPr="00387207">
        <w:rPr>
          <w:rFonts w:cs="Arial"/>
          <w:sz w:val="22"/>
          <w:szCs w:val="22"/>
        </w:rPr>
        <w:t>The properties purchased for the ‘TA’ element will be let at standard temporary accommodation rent charges</w:t>
      </w:r>
      <w:r w:rsidR="00067F0F">
        <w:rPr>
          <w:rFonts w:cs="Arial"/>
          <w:sz w:val="22"/>
          <w:szCs w:val="22"/>
        </w:rPr>
        <w:t>.</w:t>
      </w:r>
      <w:r w:rsidRPr="00387207">
        <w:rPr>
          <w:rFonts w:cs="Arial"/>
          <w:sz w:val="22"/>
          <w:szCs w:val="22"/>
        </w:rPr>
        <w:t xml:space="preserve"> </w:t>
      </w:r>
      <w:r w:rsidR="00025FB5" w:rsidRPr="00387207">
        <w:rPr>
          <w:rFonts w:cs="Arial"/>
          <w:sz w:val="22"/>
          <w:szCs w:val="22"/>
        </w:rPr>
        <w:t xml:space="preserve">The </w:t>
      </w:r>
      <w:r w:rsidR="00280A88" w:rsidRPr="00387207">
        <w:rPr>
          <w:rFonts w:cs="Arial"/>
          <w:sz w:val="22"/>
          <w:szCs w:val="22"/>
        </w:rPr>
        <w:t>properties</w:t>
      </w:r>
      <w:r w:rsidR="00025FB5" w:rsidRPr="00387207">
        <w:rPr>
          <w:rFonts w:cs="Arial"/>
          <w:sz w:val="22"/>
          <w:szCs w:val="22"/>
        </w:rPr>
        <w:t xml:space="preserve"> purchased under the ‘resettlement’ element will be let at an affordable rent</w:t>
      </w:r>
      <w:r w:rsidR="00FF5CBA" w:rsidRPr="00387207">
        <w:rPr>
          <w:rFonts w:cs="Arial"/>
          <w:sz w:val="22"/>
          <w:szCs w:val="22"/>
        </w:rPr>
        <w:t xml:space="preserve"> to ensure </w:t>
      </w:r>
      <w:r w:rsidR="004E32B3" w:rsidRPr="00387207">
        <w:rPr>
          <w:rFonts w:cs="Arial"/>
          <w:sz w:val="22"/>
          <w:szCs w:val="22"/>
        </w:rPr>
        <w:t xml:space="preserve">the viability of the scheme. The </w:t>
      </w:r>
      <w:r w:rsidR="0073635B">
        <w:rPr>
          <w:rFonts w:cs="Arial"/>
          <w:sz w:val="22"/>
          <w:szCs w:val="22"/>
        </w:rPr>
        <w:t>C</w:t>
      </w:r>
      <w:r w:rsidR="004E32B3" w:rsidRPr="00387207">
        <w:rPr>
          <w:rFonts w:cs="Arial"/>
          <w:sz w:val="22"/>
          <w:szCs w:val="22"/>
        </w:rPr>
        <w:t xml:space="preserve">ouncil </w:t>
      </w:r>
      <w:r w:rsidR="003D1498" w:rsidRPr="00387207">
        <w:rPr>
          <w:rFonts w:cs="Arial"/>
          <w:sz w:val="22"/>
          <w:szCs w:val="22"/>
        </w:rPr>
        <w:t xml:space="preserve">is unable to </w:t>
      </w:r>
      <w:r w:rsidR="007043F7" w:rsidRPr="00387207">
        <w:rPr>
          <w:rFonts w:cs="Arial"/>
          <w:sz w:val="22"/>
          <w:szCs w:val="22"/>
        </w:rPr>
        <w:t xml:space="preserve">let at a </w:t>
      </w:r>
      <w:r w:rsidR="00FF5CBA" w:rsidRPr="00387207">
        <w:rPr>
          <w:rFonts w:cs="Arial"/>
          <w:sz w:val="22"/>
          <w:szCs w:val="22"/>
        </w:rPr>
        <w:t xml:space="preserve">social rent level as it would not cover the cost to the </w:t>
      </w:r>
      <w:r w:rsidR="007043F7" w:rsidRPr="00387207">
        <w:rPr>
          <w:rFonts w:cs="Arial"/>
          <w:sz w:val="22"/>
          <w:szCs w:val="22"/>
        </w:rPr>
        <w:t xml:space="preserve">housing revenue </w:t>
      </w:r>
      <w:r w:rsidR="007043F7" w:rsidRPr="00387207">
        <w:rPr>
          <w:rFonts w:cs="Arial"/>
          <w:sz w:val="22"/>
          <w:szCs w:val="22"/>
        </w:rPr>
        <w:lastRenderedPageBreak/>
        <w:t>account</w:t>
      </w:r>
      <w:r w:rsidR="00FF5CBA" w:rsidRPr="00387207">
        <w:rPr>
          <w:rFonts w:cs="Arial"/>
          <w:sz w:val="22"/>
          <w:szCs w:val="22"/>
        </w:rPr>
        <w:t xml:space="preserve">, and therefore </w:t>
      </w:r>
      <w:r w:rsidR="0073635B">
        <w:rPr>
          <w:rFonts w:cs="Arial"/>
          <w:sz w:val="22"/>
          <w:szCs w:val="22"/>
        </w:rPr>
        <w:t xml:space="preserve">will be </w:t>
      </w:r>
      <w:r w:rsidR="00FF5CBA" w:rsidRPr="00387207">
        <w:rPr>
          <w:rFonts w:cs="Arial"/>
          <w:sz w:val="22"/>
          <w:szCs w:val="22"/>
        </w:rPr>
        <w:t>letting it at affordable rent</w:t>
      </w:r>
      <w:r w:rsidR="007E17E1" w:rsidRPr="00387207">
        <w:rPr>
          <w:rFonts w:cs="Arial"/>
          <w:sz w:val="22"/>
          <w:szCs w:val="22"/>
        </w:rPr>
        <w:t>,</w:t>
      </w:r>
      <w:r w:rsidR="00FF5CBA" w:rsidRPr="00387207">
        <w:rPr>
          <w:rFonts w:cs="Arial"/>
          <w:sz w:val="22"/>
          <w:szCs w:val="22"/>
        </w:rPr>
        <w:t xml:space="preserve"> capped at </w:t>
      </w:r>
      <w:r w:rsidR="00BB04BE" w:rsidRPr="00387207">
        <w:rPr>
          <w:rFonts w:cs="Arial"/>
          <w:sz w:val="22"/>
          <w:szCs w:val="22"/>
        </w:rPr>
        <w:t>the local housing allowance</w:t>
      </w:r>
      <w:r w:rsidR="007E17E1" w:rsidRPr="00387207">
        <w:rPr>
          <w:rFonts w:cs="Arial"/>
          <w:sz w:val="22"/>
          <w:szCs w:val="22"/>
        </w:rPr>
        <w:t>,</w:t>
      </w:r>
      <w:r w:rsidR="00FF5CBA" w:rsidRPr="00387207">
        <w:rPr>
          <w:rFonts w:cs="Arial"/>
          <w:sz w:val="22"/>
          <w:szCs w:val="22"/>
        </w:rPr>
        <w:t xml:space="preserve"> </w:t>
      </w:r>
      <w:r w:rsidR="00A71305" w:rsidRPr="00387207">
        <w:rPr>
          <w:rFonts w:cs="Arial"/>
          <w:sz w:val="22"/>
          <w:szCs w:val="22"/>
        </w:rPr>
        <w:t>to</w:t>
      </w:r>
      <w:r w:rsidR="00FF5CBA" w:rsidRPr="00387207">
        <w:rPr>
          <w:rFonts w:cs="Arial"/>
          <w:sz w:val="22"/>
          <w:szCs w:val="22"/>
        </w:rPr>
        <w:t xml:space="preserve"> ensure its viable for the </w:t>
      </w:r>
      <w:r w:rsidR="008E368E" w:rsidRPr="00387207">
        <w:rPr>
          <w:rFonts w:cs="Arial"/>
          <w:sz w:val="22"/>
          <w:szCs w:val="22"/>
        </w:rPr>
        <w:t>housing revenue account</w:t>
      </w:r>
      <w:r w:rsidR="000906B0" w:rsidRPr="00387207">
        <w:rPr>
          <w:rFonts w:cs="Arial"/>
          <w:sz w:val="22"/>
          <w:szCs w:val="22"/>
        </w:rPr>
        <w:t xml:space="preserve"> but also affordable for </w:t>
      </w:r>
      <w:r w:rsidR="00C76E27" w:rsidRPr="00387207">
        <w:rPr>
          <w:rFonts w:cs="Arial"/>
          <w:sz w:val="22"/>
          <w:szCs w:val="22"/>
        </w:rPr>
        <w:t>tenants</w:t>
      </w:r>
      <w:r w:rsidR="00280A88" w:rsidRPr="00387207">
        <w:rPr>
          <w:rFonts w:cs="Arial"/>
          <w:sz w:val="22"/>
          <w:szCs w:val="22"/>
        </w:rPr>
        <w:t xml:space="preserve">. </w:t>
      </w:r>
    </w:p>
    <w:p w14:paraId="4B05E3ED" w14:textId="38095CF6" w:rsidR="00A9634D" w:rsidRPr="00387207" w:rsidRDefault="49E1F6E8" w:rsidP="00A9634D">
      <w:pPr>
        <w:pStyle w:val="ListParagraph"/>
        <w:rPr>
          <w:rFonts w:cs="Arial"/>
          <w:sz w:val="22"/>
          <w:szCs w:val="22"/>
        </w:rPr>
      </w:pPr>
      <w:r w:rsidRPr="00387207">
        <w:rPr>
          <w:rFonts w:cs="Arial"/>
          <w:sz w:val="22"/>
          <w:szCs w:val="22"/>
        </w:rPr>
        <w:t xml:space="preserve">All properties </w:t>
      </w:r>
      <w:r w:rsidR="33806498" w:rsidRPr="00387207">
        <w:rPr>
          <w:rFonts w:cs="Arial"/>
          <w:sz w:val="22"/>
          <w:szCs w:val="22"/>
        </w:rPr>
        <w:t>delivered</w:t>
      </w:r>
      <w:r w:rsidRPr="00387207">
        <w:rPr>
          <w:rFonts w:cs="Arial"/>
          <w:sz w:val="22"/>
          <w:szCs w:val="22"/>
        </w:rPr>
        <w:t xml:space="preserve"> through </w:t>
      </w:r>
      <w:r w:rsidR="33806498" w:rsidRPr="00387207">
        <w:rPr>
          <w:rFonts w:cs="Arial"/>
          <w:sz w:val="22"/>
          <w:szCs w:val="22"/>
        </w:rPr>
        <w:t>the</w:t>
      </w:r>
      <w:r w:rsidRPr="00387207">
        <w:rPr>
          <w:rFonts w:cs="Arial"/>
          <w:sz w:val="22"/>
          <w:szCs w:val="22"/>
        </w:rPr>
        <w:t xml:space="preserve"> fund </w:t>
      </w:r>
      <w:r w:rsidR="28CAB9B3" w:rsidRPr="00387207">
        <w:rPr>
          <w:rFonts w:cs="Arial"/>
          <w:sz w:val="22"/>
          <w:szCs w:val="22"/>
        </w:rPr>
        <w:t>must</w:t>
      </w:r>
      <w:r w:rsidRPr="00387207">
        <w:rPr>
          <w:rFonts w:cs="Arial"/>
          <w:sz w:val="22"/>
          <w:szCs w:val="22"/>
        </w:rPr>
        <w:t xml:space="preserve"> be exchanged </w:t>
      </w:r>
      <w:r w:rsidR="332F3E23" w:rsidRPr="00387207">
        <w:rPr>
          <w:rFonts w:cs="Arial"/>
          <w:sz w:val="22"/>
          <w:szCs w:val="22"/>
        </w:rPr>
        <w:t xml:space="preserve">by </w:t>
      </w:r>
      <w:r w:rsidR="77A9B8CE" w:rsidRPr="00387207">
        <w:rPr>
          <w:rFonts w:cs="Arial"/>
          <w:sz w:val="22"/>
          <w:szCs w:val="22"/>
        </w:rPr>
        <w:t>31</w:t>
      </w:r>
      <w:r w:rsidR="332F3E23" w:rsidRPr="00387207">
        <w:rPr>
          <w:rFonts w:cs="Arial"/>
          <w:sz w:val="22"/>
          <w:szCs w:val="22"/>
        </w:rPr>
        <w:t xml:space="preserve"> March 202</w:t>
      </w:r>
      <w:r w:rsidR="77A9B8CE" w:rsidRPr="00387207">
        <w:rPr>
          <w:rFonts w:cs="Arial"/>
          <w:sz w:val="22"/>
          <w:szCs w:val="22"/>
        </w:rPr>
        <w:t>5</w:t>
      </w:r>
      <w:r w:rsidRPr="00387207">
        <w:rPr>
          <w:rFonts w:cs="Arial"/>
          <w:sz w:val="22"/>
          <w:szCs w:val="22"/>
        </w:rPr>
        <w:t xml:space="preserve"> due to </w:t>
      </w:r>
      <w:r w:rsidR="77A9B8CE" w:rsidRPr="00387207">
        <w:rPr>
          <w:rFonts w:cs="Arial"/>
          <w:sz w:val="22"/>
          <w:szCs w:val="22"/>
        </w:rPr>
        <w:t>MHCLG</w:t>
      </w:r>
      <w:r w:rsidRPr="00387207">
        <w:rPr>
          <w:rFonts w:cs="Arial"/>
          <w:sz w:val="22"/>
          <w:szCs w:val="22"/>
        </w:rPr>
        <w:t xml:space="preserve"> funding conditions, and therefore officers have developed a plan that can be delivered by </w:t>
      </w:r>
      <w:r w:rsidR="3F9751C2" w:rsidRPr="00387207">
        <w:rPr>
          <w:rFonts w:cs="Arial"/>
          <w:sz w:val="22"/>
          <w:szCs w:val="22"/>
        </w:rPr>
        <w:t xml:space="preserve">this </w:t>
      </w:r>
      <w:r w:rsidR="5DCCECCF" w:rsidRPr="00387207">
        <w:rPr>
          <w:rFonts w:cs="Arial"/>
          <w:sz w:val="22"/>
          <w:szCs w:val="22"/>
        </w:rPr>
        <w:t>deadline</w:t>
      </w:r>
      <w:r w:rsidRPr="00387207">
        <w:rPr>
          <w:rFonts w:cs="Arial"/>
          <w:sz w:val="22"/>
          <w:szCs w:val="22"/>
        </w:rPr>
        <w:t>.</w:t>
      </w:r>
      <w:r w:rsidR="7ECC0A27" w:rsidRPr="00387207">
        <w:rPr>
          <w:rFonts w:cs="Arial"/>
          <w:sz w:val="22"/>
          <w:szCs w:val="22"/>
        </w:rPr>
        <w:t xml:space="preserve"> </w:t>
      </w:r>
      <w:r w:rsidR="77A9B8CE" w:rsidRPr="00387207">
        <w:rPr>
          <w:rFonts w:cs="Arial"/>
          <w:sz w:val="22"/>
          <w:szCs w:val="22"/>
        </w:rPr>
        <w:t>MHCLG</w:t>
      </w:r>
      <w:r w:rsidR="7ECC0A27" w:rsidRPr="00387207">
        <w:rPr>
          <w:rFonts w:cs="Arial"/>
          <w:sz w:val="22"/>
          <w:szCs w:val="22"/>
        </w:rPr>
        <w:t xml:space="preserve"> is committed to funding any</w:t>
      </w:r>
      <w:r w:rsidR="332F3E23" w:rsidRPr="00387207">
        <w:rPr>
          <w:rFonts w:cs="Arial"/>
          <w:sz w:val="22"/>
          <w:szCs w:val="22"/>
        </w:rPr>
        <w:t xml:space="preserve"> exchange of</w:t>
      </w:r>
      <w:r w:rsidR="7ECC0A27" w:rsidRPr="00387207">
        <w:rPr>
          <w:rFonts w:cs="Arial"/>
          <w:sz w:val="22"/>
          <w:szCs w:val="22"/>
        </w:rPr>
        <w:t xml:space="preserve"> </w:t>
      </w:r>
      <w:r w:rsidR="21B81678" w:rsidRPr="00387207">
        <w:rPr>
          <w:rFonts w:cs="Arial"/>
          <w:sz w:val="22"/>
          <w:szCs w:val="22"/>
        </w:rPr>
        <w:t>contracts</w:t>
      </w:r>
      <w:r w:rsidR="7ECC0A27" w:rsidRPr="00387207">
        <w:rPr>
          <w:rFonts w:cs="Arial"/>
          <w:sz w:val="22"/>
          <w:szCs w:val="22"/>
        </w:rPr>
        <w:t xml:space="preserve"> the Council </w:t>
      </w:r>
      <w:r w:rsidR="28CAB9B3" w:rsidRPr="00387207">
        <w:rPr>
          <w:rFonts w:cs="Arial"/>
          <w:sz w:val="22"/>
          <w:szCs w:val="22"/>
        </w:rPr>
        <w:t>enters</w:t>
      </w:r>
      <w:r w:rsidR="7ECC0A27" w:rsidRPr="00387207">
        <w:rPr>
          <w:rFonts w:cs="Arial"/>
          <w:sz w:val="22"/>
          <w:szCs w:val="22"/>
        </w:rPr>
        <w:t xml:space="preserve"> by </w:t>
      </w:r>
      <w:r w:rsidR="77A9B8CE" w:rsidRPr="00387207">
        <w:rPr>
          <w:rFonts w:cs="Arial"/>
          <w:sz w:val="22"/>
          <w:szCs w:val="22"/>
        </w:rPr>
        <w:t>31</w:t>
      </w:r>
      <w:r w:rsidR="332F3E23" w:rsidRPr="00387207">
        <w:rPr>
          <w:rFonts w:cs="Arial"/>
          <w:sz w:val="22"/>
          <w:szCs w:val="22"/>
        </w:rPr>
        <w:t xml:space="preserve"> March 202</w:t>
      </w:r>
      <w:r w:rsidR="77A9B8CE" w:rsidRPr="00387207">
        <w:rPr>
          <w:rFonts w:cs="Arial"/>
          <w:sz w:val="22"/>
          <w:szCs w:val="22"/>
        </w:rPr>
        <w:t>5</w:t>
      </w:r>
      <w:r w:rsidR="332F3E23" w:rsidRPr="00387207">
        <w:rPr>
          <w:rFonts w:cs="Arial"/>
          <w:sz w:val="22"/>
          <w:szCs w:val="22"/>
        </w:rPr>
        <w:t>.</w:t>
      </w:r>
    </w:p>
    <w:p w14:paraId="1A6614F7" w14:textId="56EC560A" w:rsidR="00831997" w:rsidRPr="00387207" w:rsidRDefault="4BE0D4B2" w:rsidP="005970C6">
      <w:pPr>
        <w:pStyle w:val="ListParagraph"/>
        <w:rPr>
          <w:rFonts w:cs="Arial"/>
          <w:color w:val="000000" w:themeColor="text1"/>
          <w:sz w:val="22"/>
          <w:szCs w:val="22"/>
        </w:rPr>
      </w:pPr>
      <w:r w:rsidRPr="00387207">
        <w:rPr>
          <w:rFonts w:cs="Arial"/>
          <w:sz w:val="22"/>
          <w:szCs w:val="22"/>
        </w:rPr>
        <w:t>As with other affordable housing provisions, there is a requirement for Local Authorities to part finance a portion of the required capital. For both the ‘TA’</w:t>
      </w:r>
      <w:r w:rsidR="00237409" w:rsidRPr="00387207">
        <w:rPr>
          <w:rFonts w:cs="Arial"/>
          <w:sz w:val="22"/>
          <w:szCs w:val="22"/>
        </w:rPr>
        <w:t xml:space="preserve"> and ‘resettlement’</w:t>
      </w:r>
      <w:r w:rsidRPr="00387207">
        <w:rPr>
          <w:rFonts w:cs="Arial"/>
          <w:sz w:val="22"/>
          <w:szCs w:val="22"/>
        </w:rPr>
        <w:t xml:space="preserve"> element</w:t>
      </w:r>
      <w:r w:rsidR="00237409" w:rsidRPr="00387207">
        <w:rPr>
          <w:rFonts w:cs="Arial"/>
          <w:sz w:val="22"/>
          <w:szCs w:val="22"/>
        </w:rPr>
        <w:t>s</w:t>
      </w:r>
      <w:r w:rsidRPr="00387207">
        <w:rPr>
          <w:rFonts w:cs="Arial"/>
          <w:sz w:val="22"/>
          <w:szCs w:val="22"/>
        </w:rPr>
        <w:t xml:space="preserve"> </w:t>
      </w:r>
      <w:r w:rsidR="5D187C3D" w:rsidRPr="00387207">
        <w:rPr>
          <w:rFonts w:cs="Arial"/>
          <w:sz w:val="22"/>
          <w:szCs w:val="22"/>
        </w:rPr>
        <w:t>the grant per unit is set at 40% of median property prices in the local authority</w:t>
      </w:r>
      <w:r w:rsidR="0057150E" w:rsidRPr="00387207">
        <w:rPr>
          <w:rFonts w:cs="Arial"/>
          <w:sz w:val="22"/>
          <w:szCs w:val="22"/>
        </w:rPr>
        <w:t xml:space="preserve"> area</w:t>
      </w:r>
      <w:r w:rsidR="0E9956BB" w:rsidRPr="00387207">
        <w:rPr>
          <w:rFonts w:cs="Arial"/>
          <w:sz w:val="22"/>
          <w:szCs w:val="22"/>
        </w:rPr>
        <w:t xml:space="preserve"> for</w:t>
      </w:r>
      <w:r w:rsidRPr="00387207">
        <w:rPr>
          <w:rFonts w:cs="Arial"/>
          <w:sz w:val="22"/>
          <w:szCs w:val="22"/>
        </w:rPr>
        <w:t xml:space="preserve"> capital costs</w:t>
      </w:r>
      <w:r w:rsidR="144611B6" w:rsidRPr="00387207">
        <w:rPr>
          <w:rFonts w:cs="Arial"/>
          <w:sz w:val="22"/>
          <w:szCs w:val="22"/>
        </w:rPr>
        <w:t>. For</w:t>
      </w:r>
      <w:r w:rsidR="77A9B8CE" w:rsidRPr="00387207">
        <w:rPr>
          <w:rFonts w:cs="Arial"/>
          <w:sz w:val="22"/>
          <w:szCs w:val="22"/>
        </w:rPr>
        <w:t xml:space="preserve"> 1 ‘large resettlement’ property, </w:t>
      </w:r>
      <w:r w:rsidR="6B554FA8" w:rsidRPr="00387207">
        <w:rPr>
          <w:rFonts w:cs="Arial"/>
          <w:sz w:val="22"/>
          <w:szCs w:val="22"/>
        </w:rPr>
        <w:t>the grant per unit is set at 50% of median property prices in the local authority</w:t>
      </w:r>
      <w:r w:rsidR="0057150E" w:rsidRPr="00387207">
        <w:rPr>
          <w:rFonts w:cs="Arial"/>
          <w:sz w:val="22"/>
          <w:szCs w:val="22"/>
        </w:rPr>
        <w:t xml:space="preserve"> area</w:t>
      </w:r>
      <w:r w:rsidR="77A9B8CE" w:rsidRPr="00387207">
        <w:rPr>
          <w:rFonts w:cs="Arial"/>
          <w:sz w:val="22"/>
          <w:szCs w:val="22"/>
        </w:rPr>
        <w:t xml:space="preserve"> </w:t>
      </w:r>
      <w:r w:rsidR="0D02F3A5" w:rsidRPr="00387207">
        <w:rPr>
          <w:rFonts w:cs="Arial"/>
          <w:sz w:val="22"/>
          <w:szCs w:val="22"/>
        </w:rPr>
        <w:t>for</w:t>
      </w:r>
      <w:r w:rsidR="77A9B8CE" w:rsidRPr="00387207">
        <w:rPr>
          <w:rFonts w:cs="Arial"/>
          <w:sz w:val="22"/>
          <w:szCs w:val="22"/>
        </w:rPr>
        <w:t xml:space="preserve"> capital costs</w:t>
      </w:r>
      <w:r w:rsidRPr="00387207">
        <w:rPr>
          <w:rFonts w:cs="Arial"/>
          <w:sz w:val="22"/>
          <w:szCs w:val="22"/>
        </w:rPr>
        <w:t xml:space="preserve">. The Council’s proposed investment will come from the </w:t>
      </w:r>
      <w:r w:rsidR="000A0025" w:rsidRPr="00387207">
        <w:rPr>
          <w:rFonts w:cs="Arial"/>
          <w:sz w:val="22"/>
          <w:szCs w:val="22"/>
        </w:rPr>
        <w:t>h</w:t>
      </w:r>
      <w:r w:rsidRPr="00387207">
        <w:rPr>
          <w:rFonts w:cs="Arial"/>
          <w:sz w:val="22"/>
          <w:szCs w:val="22"/>
        </w:rPr>
        <w:t xml:space="preserve">ousing </w:t>
      </w:r>
      <w:r w:rsidR="000A0025" w:rsidRPr="00387207">
        <w:rPr>
          <w:rFonts w:cs="Arial"/>
          <w:sz w:val="22"/>
          <w:szCs w:val="22"/>
        </w:rPr>
        <w:t>r</w:t>
      </w:r>
      <w:r w:rsidRPr="00387207">
        <w:rPr>
          <w:rFonts w:cs="Arial"/>
          <w:sz w:val="22"/>
          <w:szCs w:val="22"/>
        </w:rPr>
        <w:t xml:space="preserve">evenue </w:t>
      </w:r>
      <w:r w:rsidR="000A0025" w:rsidRPr="00387207">
        <w:rPr>
          <w:rFonts w:cs="Arial"/>
          <w:sz w:val="22"/>
          <w:szCs w:val="22"/>
        </w:rPr>
        <w:t>a</w:t>
      </w:r>
      <w:r w:rsidRPr="00387207">
        <w:rPr>
          <w:rFonts w:cs="Arial"/>
          <w:sz w:val="22"/>
          <w:szCs w:val="22"/>
        </w:rPr>
        <w:t xml:space="preserve">ccount. </w:t>
      </w:r>
    </w:p>
    <w:p w14:paraId="3B318BB4" w14:textId="54D6EBC0" w:rsidR="00475629" w:rsidRPr="00387207" w:rsidRDefault="00416663" w:rsidP="00F8363F">
      <w:pPr>
        <w:pStyle w:val="bParagraphtext"/>
        <w:numPr>
          <w:ilvl w:val="0"/>
          <w:numId w:val="0"/>
        </w:numPr>
        <w:ind w:left="426"/>
        <w:rPr>
          <w:rFonts w:cs="Arial"/>
          <w:b/>
          <w:sz w:val="22"/>
          <w:szCs w:val="22"/>
        </w:rPr>
      </w:pPr>
      <w:r w:rsidRPr="00387207">
        <w:rPr>
          <w:rFonts w:cs="Arial"/>
          <w:b/>
          <w:sz w:val="22"/>
          <w:szCs w:val="22"/>
        </w:rPr>
        <w:t>Options available</w:t>
      </w:r>
      <w:r w:rsidR="00475629" w:rsidRPr="00387207">
        <w:rPr>
          <w:rFonts w:cs="Arial"/>
          <w:b/>
          <w:sz w:val="22"/>
          <w:szCs w:val="22"/>
        </w:rPr>
        <w:t xml:space="preserve"> </w:t>
      </w:r>
    </w:p>
    <w:p w14:paraId="01DB4C45" w14:textId="7CC2DEB9" w:rsidR="00416663" w:rsidRPr="00387207" w:rsidRDefault="4BE0D4B2" w:rsidP="3D9290ED">
      <w:pPr>
        <w:pStyle w:val="ListParagraph"/>
        <w:rPr>
          <w:rFonts w:cs="Arial"/>
          <w:color w:val="0B0C0C"/>
          <w:sz w:val="22"/>
          <w:szCs w:val="22"/>
        </w:rPr>
      </w:pPr>
      <w:r w:rsidRPr="00387207">
        <w:rPr>
          <w:rFonts w:cs="Arial"/>
          <w:sz w:val="22"/>
          <w:szCs w:val="22"/>
        </w:rPr>
        <w:t xml:space="preserve">Recommendation - Oxford City Council to agree to join the fund and make budget provisions so it can purchase </w:t>
      </w:r>
      <w:r w:rsidR="77A9B8CE" w:rsidRPr="00387207">
        <w:rPr>
          <w:rFonts w:cs="Arial"/>
          <w:sz w:val="22"/>
          <w:szCs w:val="22"/>
        </w:rPr>
        <w:t>5</w:t>
      </w:r>
      <w:r w:rsidRPr="00387207">
        <w:rPr>
          <w:rFonts w:cs="Arial"/>
          <w:sz w:val="22"/>
          <w:szCs w:val="22"/>
        </w:rPr>
        <w:t xml:space="preserve"> properties. This is the number of properties that can be acquired based on modelling from previous HRA acquisition programmes, data around available stock on the open market, conveyancing &amp; refurbishment timeframes and </w:t>
      </w:r>
      <w:r w:rsidR="7211906E" w:rsidRPr="00387207">
        <w:rPr>
          <w:rFonts w:cs="Arial"/>
          <w:sz w:val="22"/>
          <w:szCs w:val="22"/>
        </w:rPr>
        <w:t xml:space="preserve">for the Council to </w:t>
      </w:r>
      <w:r w:rsidRPr="00387207">
        <w:rPr>
          <w:rFonts w:cs="Arial"/>
          <w:sz w:val="22"/>
          <w:szCs w:val="22"/>
        </w:rPr>
        <w:t xml:space="preserve">meet the </w:t>
      </w:r>
      <w:r w:rsidR="77A9B8CE" w:rsidRPr="00387207">
        <w:rPr>
          <w:rFonts w:cs="Arial"/>
          <w:sz w:val="22"/>
          <w:szCs w:val="22"/>
        </w:rPr>
        <w:t>MHCLG</w:t>
      </w:r>
      <w:r w:rsidRPr="00387207">
        <w:rPr>
          <w:rFonts w:cs="Arial"/>
          <w:sz w:val="22"/>
          <w:szCs w:val="22"/>
        </w:rPr>
        <w:t xml:space="preserve"> deadline to deliver the properties by </w:t>
      </w:r>
      <w:r w:rsidR="77A9B8CE" w:rsidRPr="00387207">
        <w:rPr>
          <w:rFonts w:cs="Arial"/>
          <w:sz w:val="22"/>
          <w:szCs w:val="22"/>
        </w:rPr>
        <w:t>31</w:t>
      </w:r>
      <w:r w:rsidRPr="00387207">
        <w:rPr>
          <w:rFonts w:cs="Arial"/>
          <w:sz w:val="22"/>
          <w:szCs w:val="22"/>
        </w:rPr>
        <w:t xml:space="preserve"> March 202</w:t>
      </w:r>
      <w:r w:rsidR="77A9B8CE" w:rsidRPr="00387207">
        <w:rPr>
          <w:rFonts w:cs="Arial"/>
          <w:sz w:val="22"/>
          <w:szCs w:val="22"/>
        </w:rPr>
        <w:t>5</w:t>
      </w:r>
      <w:r w:rsidRPr="00387207">
        <w:rPr>
          <w:rFonts w:cs="Arial"/>
          <w:sz w:val="22"/>
          <w:szCs w:val="22"/>
        </w:rPr>
        <w:t>. The purchased properties will be used to support households requiring temporary accommodation</w:t>
      </w:r>
      <w:r w:rsidR="005D4E8E" w:rsidRPr="00387207">
        <w:rPr>
          <w:rFonts w:cs="Arial"/>
          <w:sz w:val="22"/>
          <w:szCs w:val="22"/>
        </w:rPr>
        <w:t xml:space="preserve"> and eligible Afghan households</w:t>
      </w:r>
      <w:r w:rsidRPr="00387207">
        <w:rPr>
          <w:rFonts w:cs="Arial"/>
          <w:sz w:val="22"/>
          <w:szCs w:val="22"/>
        </w:rPr>
        <w:t>, as well as delivering a long-term investment for</w:t>
      </w:r>
      <w:r w:rsidR="0073635B">
        <w:rPr>
          <w:rFonts w:cs="Arial"/>
          <w:sz w:val="22"/>
          <w:szCs w:val="22"/>
        </w:rPr>
        <w:t xml:space="preserve"> the</w:t>
      </w:r>
      <w:r w:rsidRPr="00387207">
        <w:rPr>
          <w:rFonts w:cs="Arial"/>
          <w:sz w:val="22"/>
          <w:szCs w:val="22"/>
        </w:rPr>
        <w:t xml:space="preserve"> Council that will help realise its corporate objective</w:t>
      </w:r>
      <w:r w:rsidR="15007AF5" w:rsidRPr="00387207">
        <w:rPr>
          <w:rFonts w:cs="Arial"/>
          <w:sz w:val="22"/>
          <w:szCs w:val="22"/>
        </w:rPr>
        <w:t xml:space="preserve">s to </w:t>
      </w:r>
      <w:r w:rsidR="15007AF5" w:rsidRPr="00387207">
        <w:rPr>
          <w:rFonts w:cs="Arial"/>
          <w:color w:val="auto"/>
          <w:sz w:val="22"/>
          <w:szCs w:val="22"/>
        </w:rPr>
        <w:t>deliver good, affordable homes and support thriving communities.</w:t>
      </w:r>
    </w:p>
    <w:p w14:paraId="37E6F002" w14:textId="6A61799C" w:rsidR="00416663" w:rsidRPr="00387207" w:rsidRDefault="18B4B97C" w:rsidP="00416663">
      <w:pPr>
        <w:pStyle w:val="ListParagraph"/>
        <w:rPr>
          <w:rFonts w:cs="Arial"/>
          <w:sz w:val="22"/>
          <w:szCs w:val="22"/>
        </w:rPr>
      </w:pPr>
      <w:r w:rsidRPr="00387207">
        <w:rPr>
          <w:rFonts w:cs="Arial"/>
          <w:sz w:val="22"/>
          <w:szCs w:val="22"/>
        </w:rPr>
        <w:t>Do nothing – Under this option, the Council would not accept the grant funding that has been made available and therefore</w:t>
      </w:r>
      <w:r w:rsidR="003F58D6" w:rsidRPr="00387207">
        <w:rPr>
          <w:rFonts w:cs="Arial"/>
          <w:sz w:val="22"/>
          <w:szCs w:val="22"/>
        </w:rPr>
        <w:t xml:space="preserve"> the Council would</w:t>
      </w:r>
      <w:r w:rsidRPr="00387207">
        <w:rPr>
          <w:rFonts w:cs="Arial"/>
          <w:sz w:val="22"/>
          <w:szCs w:val="22"/>
        </w:rPr>
        <w:t xml:space="preserve"> not be able to purchase additional properties, for the eligible cohort, with substantial contribution by the government. Therefore, under the ‘do nothing’ option, the potential benefits referenced in this report will not be realised. The Council will need to consider other accommodation offers to support refugee groups, </w:t>
      </w:r>
      <w:r w:rsidR="00C13376" w:rsidRPr="00387207">
        <w:rPr>
          <w:rFonts w:cs="Arial"/>
          <w:sz w:val="22"/>
          <w:szCs w:val="22"/>
        </w:rPr>
        <w:t>as well as not being able to reduce the usage of expensive hotel accommodation</w:t>
      </w:r>
      <w:r w:rsidRPr="00387207">
        <w:rPr>
          <w:rFonts w:cs="Arial"/>
          <w:sz w:val="22"/>
          <w:szCs w:val="22"/>
        </w:rPr>
        <w:t>.</w:t>
      </w:r>
    </w:p>
    <w:p w14:paraId="34C0B715" w14:textId="6B5C1781" w:rsidR="005A6610" w:rsidRPr="00387207" w:rsidRDefault="00C85B4E" w:rsidP="00D56239">
      <w:pPr>
        <w:ind w:left="426" w:hanging="426"/>
        <w:rPr>
          <w:rFonts w:cs="Arial"/>
          <w:b/>
          <w:sz w:val="22"/>
          <w:szCs w:val="22"/>
        </w:rPr>
      </w:pPr>
      <w:r w:rsidRPr="00387207">
        <w:rPr>
          <w:rFonts w:cs="Arial"/>
          <w:b/>
          <w:sz w:val="22"/>
          <w:szCs w:val="22"/>
        </w:rPr>
        <w:t>E</w:t>
      </w:r>
      <w:r w:rsidR="00E87F7A" w:rsidRPr="00387207">
        <w:rPr>
          <w:rFonts w:cs="Arial"/>
          <w:b/>
          <w:sz w:val="22"/>
          <w:szCs w:val="22"/>
        </w:rPr>
        <w:t xml:space="preserve">nvironmental </w:t>
      </w:r>
    </w:p>
    <w:p w14:paraId="527E5687" w14:textId="45CE32E7" w:rsidR="00475629" w:rsidRPr="00387207" w:rsidRDefault="0A7D457A" w:rsidP="0A7D457A">
      <w:pPr>
        <w:pStyle w:val="ListParagraph"/>
        <w:rPr>
          <w:rFonts w:cs="Arial"/>
          <w:b/>
          <w:bCs/>
          <w:sz w:val="22"/>
          <w:szCs w:val="22"/>
        </w:rPr>
      </w:pPr>
      <w:bookmarkStart w:id="0" w:name="_Hlk141697848"/>
      <w:r w:rsidRPr="00387207">
        <w:rPr>
          <w:rFonts w:cs="Arial"/>
          <w:sz w:val="22"/>
          <w:szCs w:val="22"/>
        </w:rPr>
        <w:t xml:space="preserve">There are few environmental considerations arising directly from this report. Any property purchased into the HRA will need to comply with the Decent Homes Standard, </w:t>
      </w:r>
      <w:r w:rsidRPr="00387207">
        <w:rPr>
          <w:rFonts w:eastAsia="Arial" w:cs="Arial"/>
          <w:color w:val="000000" w:themeColor="text1"/>
          <w:sz w:val="22"/>
          <w:szCs w:val="22"/>
        </w:rPr>
        <w:t>Housing Health &amp; Safety Rating System (HHSRS)</w:t>
      </w:r>
      <w:r w:rsidRPr="00387207">
        <w:rPr>
          <w:rFonts w:cs="Arial"/>
          <w:sz w:val="22"/>
          <w:szCs w:val="22"/>
        </w:rPr>
        <w:t xml:space="preserve"> </w:t>
      </w:r>
      <w:r w:rsidR="00D2602D" w:rsidRPr="00387207">
        <w:rPr>
          <w:rFonts w:cs="Arial"/>
          <w:sz w:val="22"/>
          <w:szCs w:val="22"/>
        </w:rPr>
        <w:t xml:space="preserve">and meet EPC rating of C or above. The properties will go through </w:t>
      </w:r>
      <w:r w:rsidR="006630FF" w:rsidRPr="00387207">
        <w:rPr>
          <w:rFonts w:cs="Arial"/>
          <w:color w:val="auto"/>
          <w:sz w:val="22"/>
          <w:szCs w:val="22"/>
        </w:rPr>
        <w:t xml:space="preserve">voids process to </w:t>
      </w:r>
      <w:r w:rsidR="00EA46B5" w:rsidRPr="00387207">
        <w:rPr>
          <w:rFonts w:cs="Arial"/>
          <w:color w:val="auto"/>
          <w:sz w:val="22"/>
          <w:szCs w:val="22"/>
        </w:rPr>
        <w:t xml:space="preserve">ensure they are brought up to a </w:t>
      </w:r>
      <w:r w:rsidR="00030173" w:rsidRPr="00387207">
        <w:rPr>
          <w:rFonts w:cs="Arial"/>
          <w:color w:val="auto"/>
          <w:sz w:val="22"/>
          <w:szCs w:val="22"/>
        </w:rPr>
        <w:t xml:space="preserve">lettable standard in line with other </w:t>
      </w:r>
      <w:r w:rsidR="008D0732" w:rsidRPr="00387207">
        <w:rPr>
          <w:rFonts w:cs="Arial"/>
          <w:color w:val="auto"/>
          <w:sz w:val="22"/>
          <w:szCs w:val="22"/>
        </w:rPr>
        <w:t>allocations of housing.</w:t>
      </w:r>
      <w:r w:rsidRPr="00387207">
        <w:rPr>
          <w:rFonts w:cs="Arial"/>
          <w:color w:val="auto"/>
          <w:sz w:val="22"/>
          <w:szCs w:val="22"/>
        </w:rPr>
        <w:t xml:space="preserve"> </w:t>
      </w:r>
    </w:p>
    <w:bookmarkEnd w:id="0"/>
    <w:p w14:paraId="34C0B720" w14:textId="77777777" w:rsidR="0040736F" w:rsidRPr="00387207" w:rsidRDefault="002329CF" w:rsidP="002B6836">
      <w:pPr>
        <w:pStyle w:val="Heading1"/>
        <w:rPr>
          <w:rFonts w:cs="Arial"/>
          <w:sz w:val="22"/>
          <w:szCs w:val="22"/>
        </w:rPr>
      </w:pPr>
      <w:r w:rsidRPr="00387207">
        <w:rPr>
          <w:rFonts w:cs="Arial"/>
          <w:sz w:val="22"/>
          <w:szCs w:val="22"/>
        </w:rPr>
        <w:t>Financial implications</w:t>
      </w:r>
    </w:p>
    <w:p w14:paraId="34FA3CB8" w14:textId="56A3095A" w:rsidR="00AA2A00" w:rsidRPr="00387207" w:rsidRDefault="33806498" w:rsidP="005E5623">
      <w:pPr>
        <w:pStyle w:val="ListParagraph"/>
        <w:rPr>
          <w:rFonts w:cs="Arial"/>
          <w:sz w:val="22"/>
          <w:szCs w:val="22"/>
        </w:rPr>
      </w:pPr>
      <w:r w:rsidRPr="00387207">
        <w:rPr>
          <w:rFonts w:cs="Arial"/>
          <w:sz w:val="22"/>
          <w:szCs w:val="22"/>
        </w:rPr>
        <w:t xml:space="preserve">As a requirement of the fund the </w:t>
      </w:r>
      <w:r w:rsidR="1A886009" w:rsidRPr="00387207">
        <w:rPr>
          <w:rFonts w:cs="Arial"/>
          <w:sz w:val="22"/>
          <w:szCs w:val="22"/>
        </w:rPr>
        <w:t>Council</w:t>
      </w:r>
      <w:r w:rsidR="356F3B4E" w:rsidRPr="00387207">
        <w:rPr>
          <w:rFonts w:cs="Arial"/>
          <w:sz w:val="22"/>
          <w:szCs w:val="22"/>
        </w:rPr>
        <w:t xml:space="preserve"> is required to part fund or finance some of the required capital. </w:t>
      </w:r>
      <w:r w:rsidR="222D32AC" w:rsidRPr="00387207">
        <w:rPr>
          <w:rFonts w:cs="Arial"/>
          <w:sz w:val="22"/>
          <w:szCs w:val="22"/>
        </w:rPr>
        <w:t xml:space="preserve">For </w:t>
      </w:r>
      <w:r w:rsidR="65BF51F6" w:rsidRPr="00387207">
        <w:rPr>
          <w:rFonts w:cs="Arial"/>
          <w:sz w:val="22"/>
          <w:szCs w:val="22"/>
        </w:rPr>
        <w:t xml:space="preserve">both the ‘resettlement’ &amp; ‘TA’ element </w:t>
      </w:r>
      <w:r w:rsidR="222D32AC" w:rsidRPr="00387207">
        <w:rPr>
          <w:rFonts w:cs="Arial"/>
          <w:sz w:val="22"/>
          <w:szCs w:val="22"/>
        </w:rPr>
        <w:t>40% of capital costs are covered by grant</w:t>
      </w:r>
      <w:r w:rsidR="1F026796" w:rsidRPr="00387207">
        <w:rPr>
          <w:rFonts w:cs="Arial"/>
          <w:sz w:val="22"/>
          <w:szCs w:val="22"/>
        </w:rPr>
        <w:t>;</w:t>
      </w:r>
      <w:r w:rsidR="77A9B8CE" w:rsidRPr="00387207">
        <w:rPr>
          <w:rFonts w:cs="Arial"/>
          <w:sz w:val="22"/>
          <w:szCs w:val="22"/>
        </w:rPr>
        <w:t xml:space="preserve"> for 1</w:t>
      </w:r>
      <w:r w:rsidR="0087464F">
        <w:rPr>
          <w:rFonts w:cs="Arial"/>
          <w:sz w:val="22"/>
          <w:szCs w:val="22"/>
        </w:rPr>
        <w:t>x</w:t>
      </w:r>
      <w:r w:rsidR="77A9B8CE" w:rsidRPr="00387207">
        <w:rPr>
          <w:rFonts w:cs="Arial"/>
          <w:sz w:val="22"/>
          <w:szCs w:val="22"/>
        </w:rPr>
        <w:t xml:space="preserve"> ‘large resettlement’ property, government grant will equate to 50% of total capital costs.</w:t>
      </w:r>
      <w:r w:rsidR="222D32AC" w:rsidRPr="00387207">
        <w:rPr>
          <w:rFonts w:cs="Arial"/>
          <w:sz w:val="22"/>
          <w:szCs w:val="22"/>
        </w:rPr>
        <w:t xml:space="preserve"> This means t</w:t>
      </w:r>
      <w:r w:rsidR="6679E804" w:rsidRPr="00387207">
        <w:rPr>
          <w:rFonts w:cs="Arial"/>
          <w:sz w:val="22"/>
          <w:szCs w:val="22"/>
        </w:rPr>
        <w:t xml:space="preserve">he </w:t>
      </w:r>
      <w:r w:rsidR="1A886009" w:rsidRPr="00387207">
        <w:rPr>
          <w:rFonts w:cs="Arial"/>
          <w:sz w:val="22"/>
          <w:szCs w:val="22"/>
        </w:rPr>
        <w:t>Council</w:t>
      </w:r>
      <w:r w:rsidR="6BD8B087" w:rsidRPr="00387207">
        <w:rPr>
          <w:rFonts w:cs="Arial"/>
          <w:sz w:val="22"/>
          <w:szCs w:val="22"/>
        </w:rPr>
        <w:t xml:space="preserve"> is forecast to invest </w:t>
      </w:r>
      <w:r w:rsidR="5B320D5B" w:rsidRPr="00387207">
        <w:rPr>
          <w:rFonts w:cs="Arial"/>
          <w:sz w:val="22"/>
          <w:szCs w:val="22"/>
        </w:rPr>
        <w:t>up</w:t>
      </w:r>
      <w:r w:rsidR="3D023217" w:rsidRPr="00387207">
        <w:rPr>
          <w:rFonts w:cs="Arial"/>
          <w:sz w:val="22"/>
          <w:szCs w:val="22"/>
        </w:rPr>
        <w:t xml:space="preserve"> </w:t>
      </w:r>
      <w:r w:rsidR="5B320D5B" w:rsidRPr="00387207">
        <w:rPr>
          <w:rFonts w:cs="Arial"/>
          <w:sz w:val="22"/>
          <w:szCs w:val="22"/>
        </w:rPr>
        <w:t xml:space="preserve">to </w:t>
      </w:r>
      <w:r w:rsidR="56DD5CC4" w:rsidRPr="00387207">
        <w:rPr>
          <w:rFonts w:cs="Arial"/>
          <w:sz w:val="22"/>
          <w:szCs w:val="22"/>
        </w:rPr>
        <w:t>a total of £</w:t>
      </w:r>
      <w:r w:rsidR="0500E2E1" w:rsidRPr="00387207">
        <w:rPr>
          <w:rFonts w:cs="Arial"/>
          <w:sz w:val="22"/>
          <w:szCs w:val="22"/>
          <w:lang w:eastAsia="en-US"/>
        </w:rPr>
        <w:t>1,</w:t>
      </w:r>
      <w:r w:rsidR="0087464F">
        <w:rPr>
          <w:rFonts w:cs="Arial"/>
          <w:sz w:val="22"/>
          <w:szCs w:val="22"/>
          <w:lang w:eastAsia="en-US"/>
        </w:rPr>
        <w:t>910</w:t>
      </w:r>
      <w:r w:rsidR="0500E2E1" w:rsidRPr="00387207">
        <w:rPr>
          <w:rFonts w:cs="Arial"/>
          <w:sz w:val="22"/>
          <w:szCs w:val="22"/>
          <w:lang w:eastAsia="en-US"/>
        </w:rPr>
        <w:t>,</w:t>
      </w:r>
      <w:r w:rsidR="0087464F">
        <w:rPr>
          <w:rFonts w:cs="Arial"/>
          <w:sz w:val="22"/>
          <w:szCs w:val="22"/>
          <w:lang w:eastAsia="en-US"/>
        </w:rPr>
        <w:t>0</w:t>
      </w:r>
      <w:r w:rsidR="0500E2E1" w:rsidRPr="00387207">
        <w:rPr>
          <w:rFonts w:cs="Arial"/>
          <w:sz w:val="22"/>
          <w:szCs w:val="22"/>
          <w:lang w:eastAsia="en-US"/>
        </w:rPr>
        <w:t>00</w:t>
      </w:r>
      <w:r w:rsidR="317BBB37" w:rsidRPr="00387207">
        <w:rPr>
          <w:rFonts w:cs="Arial"/>
          <w:sz w:val="22"/>
          <w:szCs w:val="22"/>
          <w:lang w:eastAsia="en-US"/>
        </w:rPr>
        <w:t xml:space="preserve"> </w:t>
      </w:r>
      <w:r w:rsidR="65BF51F6" w:rsidRPr="00387207">
        <w:rPr>
          <w:rFonts w:cs="Arial"/>
          <w:sz w:val="22"/>
          <w:szCs w:val="22"/>
        </w:rPr>
        <w:t xml:space="preserve">on the purchase of the </w:t>
      </w:r>
      <w:r w:rsidR="0500E2E1" w:rsidRPr="00387207">
        <w:rPr>
          <w:rFonts w:cs="Arial"/>
          <w:sz w:val="22"/>
          <w:szCs w:val="22"/>
        </w:rPr>
        <w:t>5</w:t>
      </w:r>
      <w:r w:rsidR="6679E804" w:rsidRPr="00387207">
        <w:rPr>
          <w:rFonts w:cs="Arial"/>
          <w:sz w:val="22"/>
          <w:szCs w:val="22"/>
        </w:rPr>
        <w:t xml:space="preserve"> properties</w:t>
      </w:r>
      <w:r w:rsidR="19FE9990" w:rsidRPr="00387207">
        <w:rPr>
          <w:rFonts w:cs="Arial"/>
          <w:sz w:val="22"/>
          <w:szCs w:val="22"/>
        </w:rPr>
        <w:t>,</w:t>
      </w:r>
      <w:r w:rsidR="6BD8B087" w:rsidRPr="00387207">
        <w:rPr>
          <w:rFonts w:cs="Arial"/>
          <w:sz w:val="22"/>
          <w:szCs w:val="22"/>
        </w:rPr>
        <w:t xml:space="preserve"> </w:t>
      </w:r>
      <w:r w:rsidR="222D32AC" w:rsidRPr="00387207">
        <w:rPr>
          <w:rFonts w:cs="Arial"/>
          <w:sz w:val="22"/>
          <w:szCs w:val="22"/>
        </w:rPr>
        <w:t>with</w:t>
      </w:r>
      <w:r w:rsidR="65BF51F6" w:rsidRPr="00387207">
        <w:rPr>
          <w:rFonts w:cs="Arial"/>
          <w:sz w:val="22"/>
          <w:szCs w:val="22"/>
        </w:rPr>
        <w:t xml:space="preserve"> </w:t>
      </w:r>
      <w:r w:rsidR="0087464F">
        <w:rPr>
          <w:rFonts w:cs="Arial"/>
          <w:sz w:val="22"/>
          <w:szCs w:val="22"/>
        </w:rPr>
        <w:t xml:space="preserve">up to </w:t>
      </w:r>
      <w:r w:rsidR="65BF51F6" w:rsidRPr="00387207">
        <w:rPr>
          <w:rFonts w:cs="Arial"/>
          <w:sz w:val="22"/>
          <w:szCs w:val="22"/>
        </w:rPr>
        <w:t>£</w:t>
      </w:r>
      <w:r w:rsidR="0087464F">
        <w:rPr>
          <w:rFonts w:cs="Arial"/>
          <w:sz w:val="22"/>
          <w:szCs w:val="22"/>
        </w:rPr>
        <w:t>1,061,000</w:t>
      </w:r>
      <w:r w:rsidR="0500E2E1" w:rsidRPr="00387207">
        <w:rPr>
          <w:rFonts w:cs="Arial"/>
          <w:sz w:val="22"/>
          <w:szCs w:val="22"/>
        </w:rPr>
        <w:t xml:space="preserve"> </w:t>
      </w:r>
      <w:r w:rsidR="56DD5CC4" w:rsidRPr="00387207">
        <w:rPr>
          <w:rFonts w:cs="Arial"/>
          <w:sz w:val="22"/>
          <w:szCs w:val="22"/>
        </w:rPr>
        <w:t>being funded from HRA borrowing, and</w:t>
      </w:r>
      <w:r w:rsidR="222D32AC" w:rsidRPr="00387207">
        <w:rPr>
          <w:rFonts w:cs="Arial"/>
          <w:sz w:val="22"/>
          <w:szCs w:val="22"/>
        </w:rPr>
        <w:t xml:space="preserve"> the rest covered by </w:t>
      </w:r>
      <w:r w:rsidR="0087464F">
        <w:rPr>
          <w:rFonts w:cs="Arial"/>
          <w:sz w:val="22"/>
          <w:szCs w:val="22"/>
        </w:rPr>
        <w:t xml:space="preserve">capital </w:t>
      </w:r>
      <w:r w:rsidR="222D32AC" w:rsidRPr="00387207">
        <w:rPr>
          <w:rFonts w:cs="Arial"/>
          <w:sz w:val="22"/>
          <w:szCs w:val="22"/>
        </w:rPr>
        <w:t>grant of</w:t>
      </w:r>
      <w:r w:rsidR="7A828F48" w:rsidRPr="00387207">
        <w:rPr>
          <w:rFonts w:cs="Arial"/>
          <w:sz w:val="22"/>
          <w:szCs w:val="22"/>
        </w:rPr>
        <w:t xml:space="preserve"> </w:t>
      </w:r>
      <w:r w:rsidR="0087464F">
        <w:rPr>
          <w:rFonts w:cs="Arial"/>
          <w:sz w:val="22"/>
          <w:szCs w:val="22"/>
        </w:rPr>
        <w:t xml:space="preserve">up to </w:t>
      </w:r>
      <w:r w:rsidR="65BF51F6" w:rsidRPr="00387207">
        <w:rPr>
          <w:rFonts w:cs="Arial"/>
          <w:noProof/>
          <w:sz w:val="22"/>
          <w:szCs w:val="22"/>
          <w:shd w:val="clear" w:color="auto" w:fill="F0F0F0"/>
        </w:rPr>
        <w:t>£</w:t>
      </w:r>
      <w:r w:rsidR="0087464F">
        <w:rPr>
          <w:rFonts w:cs="Arial"/>
          <w:noProof/>
          <w:sz w:val="22"/>
          <w:szCs w:val="22"/>
        </w:rPr>
        <w:t>849</w:t>
      </w:r>
      <w:r w:rsidR="00560D05">
        <w:rPr>
          <w:rFonts w:cs="Arial"/>
          <w:noProof/>
          <w:sz w:val="22"/>
          <w:szCs w:val="22"/>
        </w:rPr>
        <w:t>,</w:t>
      </w:r>
      <w:r w:rsidR="0087464F">
        <w:rPr>
          <w:rFonts w:cs="Arial"/>
          <w:noProof/>
          <w:sz w:val="22"/>
          <w:szCs w:val="22"/>
        </w:rPr>
        <w:t>0</w:t>
      </w:r>
      <w:r w:rsidR="00560D05">
        <w:rPr>
          <w:rFonts w:cs="Arial"/>
          <w:noProof/>
          <w:sz w:val="22"/>
          <w:szCs w:val="22"/>
        </w:rPr>
        <w:t>00</w:t>
      </w:r>
      <w:r w:rsidR="6679E804" w:rsidRPr="00387207">
        <w:rPr>
          <w:rFonts w:cs="Arial"/>
          <w:sz w:val="22"/>
          <w:szCs w:val="22"/>
        </w:rPr>
        <w:t xml:space="preserve">. </w:t>
      </w:r>
    </w:p>
    <w:p w14:paraId="12870CC8" w14:textId="746B28D1" w:rsidR="00AA2A00" w:rsidRPr="00387207" w:rsidRDefault="18B4B97C" w:rsidP="005E5623">
      <w:pPr>
        <w:pStyle w:val="ListParagraph"/>
        <w:rPr>
          <w:rFonts w:cs="Arial"/>
          <w:sz w:val="22"/>
          <w:szCs w:val="22"/>
        </w:rPr>
      </w:pPr>
      <w:r w:rsidRPr="00387207">
        <w:rPr>
          <w:rFonts w:cs="Arial"/>
          <w:sz w:val="22"/>
          <w:szCs w:val="22"/>
        </w:rPr>
        <w:t xml:space="preserve">Payments from our grant allocation are due to be transferred as per the </w:t>
      </w:r>
      <w:r w:rsidR="00C13376" w:rsidRPr="00387207">
        <w:rPr>
          <w:rFonts w:cs="Arial"/>
          <w:sz w:val="22"/>
          <w:szCs w:val="22"/>
        </w:rPr>
        <w:t>MHCLG</w:t>
      </w:r>
      <w:r w:rsidRPr="00387207">
        <w:rPr>
          <w:rFonts w:cs="Arial"/>
          <w:sz w:val="22"/>
          <w:szCs w:val="22"/>
        </w:rPr>
        <w:t xml:space="preserve"> payment schedule. See Table 1 which details the </w:t>
      </w:r>
      <w:r w:rsidR="0010253D">
        <w:rPr>
          <w:rFonts w:cs="Arial"/>
          <w:sz w:val="22"/>
          <w:szCs w:val="22"/>
        </w:rPr>
        <w:t xml:space="preserve">full </w:t>
      </w:r>
      <w:r w:rsidRPr="00387207">
        <w:rPr>
          <w:rFonts w:cs="Arial"/>
          <w:sz w:val="22"/>
          <w:szCs w:val="22"/>
        </w:rPr>
        <w:t xml:space="preserve">grant allocation and Table 2 </w:t>
      </w:r>
      <w:r w:rsidR="0010253D">
        <w:rPr>
          <w:rFonts w:cs="Arial"/>
          <w:sz w:val="22"/>
          <w:szCs w:val="22"/>
        </w:rPr>
        <w:t>for a breakdown of the costs</w:t>
      </w:r>
      <w:r w:rsidRPr="00387207">
        <w:rPr>
          <w:rFonts w:cs="Arial"/>
          <w:sz w:val="22"/>
          <w:szCs w:val="22"/>
        </w:rPr>
        <w:t xml:space="preserve">. </w:t>
      </w:r>
    </w:p>
    <w:p w14:paraId="48211EF5" w14:textId="5360BF3B" w:rsidR="00AA2A00" w:rsidRPr="00387207" w:rsidRDefault="4BE0D4B2" w:rsidP="005E5623">
      <w:pPr>
        <w:pStyle w:val="ListParagraph"/>
        <w:rPr>
          <w:rFonts w:cs="Arial"/>
          <w:sz w:val="22"/>
          <w:szCs w:val="22"/>
        </w:rPr>
      </w:pPr>
      <w:r w:rsidRPr="00387207">
        <w:rPr>
          <w:rFonts w:cs="Arial"/>
          <w:sz w:val="22"/>
          <w:szCs w:val="22"/>
        </w:rPr>
        <w:t xml:space="preserve">As a prerequisite to </w:t>
      </w:r>
      <w:r w:rsidR="0CAE6887" w:rsidRPr="00387207">
        <w:rPr>
          <w:rFonts w:cs="Arial"/>
          <w:sz w:val="22"/>
          <w:szCs w:val="22"/>
        </w:rPr>
        <w:t>enter</w:t>
      </w:r>
      <w:r w:rsidRPr="00387207">
        <w:rPr>
          <w:rFonts w:cs="Arial"/>
          <w:sz w:val="22"/>
          <w:szCs w:val="22"/>
        </w:rPr>
        <w:t xml:space="preserve"> the fund, Council </w:t>
      </w:r>
      <w:r w:rsidR="537C2B3E" w:rsidRPr="00387207">
        <w:rPr>
          <w:rFonts w:cs="Arial"/>
          <w:sz w:val="22"/>
          <w:szCs w:val="22"/>
        </w:rPr>
        <w:t>o</w:t>
      </w:r>
      <w:r w:rsidRPr="00387207">
        <w:rPr>
          <w:rFonts w:cs="Arial"/>
          <w:sz w:val="22"/>
          <w:szCs w:val="22"/>
        </w:rPr>
        <w:t xml:space="preserve">fficers were required to sign a Memorandum of Understanding (MoU) with </w:t>
      </w:r>
      <w:r w:rsidR="77A9B8CE" w:rsidRPr="00387207">
        <w:rPr>
          <w:rFonts w:cs="Arial"/>
          <w:sz w:val="22"/>
          <w:szCs w:val="22"/>
        </w:rPr>
        <w:t>MHCLG</w:t>
      </w:r>
      <w:r w:rsidRPr="00387207">
        <w:rPr>
          <w:rFonts w:cs="Arial"/>
          <w:sz w:val="22"/>
          <w:szCs w:val="22"/>
        </w:rPr>
        <w:t xml:space="preserve">, a copy of which can be found in </w:t>
      </w:r>
      <w:r w:rsidRPr="00387207">
        <w:rPr>
          <w:rFonts w:cs="Arial"/>
          <w:sz w:val="22"/>
          <w:szCs w:val="22"/>
        </w:rPr>
        <w:lastRenderedPageBreak/>
        <w:t>appendix 3. This is a commercially sensitive document and as such is confidential and marked not for publication. The MoU does not commit the Council to the scheme.</w:t>
      </w:r>
    </w:p>
    <w:p w14:paraId="5B21BB61" w14:textId="42032EB1" w:rsidR="0080160A" w:rsidRDefault="4BE0D4B2" w:rsidP="0080160A">
      <w:pPr>
        <w:pStyle w:val="ListParagraph"/>
        <w:rPr>
          <w:rFonts w:cs="Arial"/>
          <w:sz w:val="22"/>
          <w:szCs w:val="22"/>
        </w:rPr>
      </w:pPr>
      <w:r w:rsidRPr="00387207">
        <w:rPr>
          <w:rFonts w:cs="Arial"/>
          <w:sz w:val="22"/>
          <w:szCs w:val="22"/>
        </w:rPr>
        <w:t xml:space="preserve">Financial modelling has been completed by the Council on the impact of schemes on the </w:t>
      </w:r>
      <w:r w:rsidR="00D20AE0">
        <w:rPr>
          <w:rFonts w:cs="Arial"/>
          <w:sz w:val="22"/>
          <w:szCs w:val="22"/>
        </w:rPr>
        <w:t>i</w:t>
      </w:r>
      <w:r w:rsidRPr="00387207">
        <w:rPr>
          <w:rFonts w:cs="Arial"/>
          <w:sz w:val="22"/>
          <w:szCs w:val="22"/>
        </w:rPr>
        <w:t>ndividual Interest Cover Ratio</w:t>
      </w:r>
      <w:r w:rsidR="21DDD25D" w:rsidRPr="00387207">
        <w:rPr>
          <w:rFonts w:cs="Arial"/>
          <w:sz w:val="22"/>
          <w:szCs w:val="22"/>
        </w:rPr>
        <w:t xml:space="preserve"> (ICR)</w:t>
      </w:r>
      <w:r w:rsidRPr="00387207">
        <w:rPr>
          <w:rFonts w:cs="Arial"/>
          <w:sz w:val="22"/>
          <w:szCs w:val="22"/>
        </w:rPr>
        <w:t xml:space="preserve"> and overall impact on the </w:t>
      </w:r>
      <w:r w:rsidR="00D20AE0">
        <w:rPr>
          <w:rFonts w:cs="Arial"/>
          <w:sz w:val="22"/>
          <w:szCs w:val="22"/>
        </w:rPr>
        <w:t>h</w:t>
      </w:r>
      <w:r w:rsidRPr="00387207">
        <w:rPr>
          <w:rFonts w:cs="Arial"/>
          <w:sz w:val="22"/>
          <w:szCs w:val="22"/>
        </w:rPr>
        <w:t xml:space="preserve">ousing </w:t>
      </w:r>
      <w:r w:rsidR="00D20AE0">
        <w:rPr>
          <w:rFonts w:cs="Arial"/>
          <w:sz w:val="22"/>
          <w:szCs w:val="22"/>
        </w:rPr>
        <w:t>r</w:t>
      </w:r>
      <w:r w:rsidRPr="00387207">
        <w:rPr>
          <w:rFonts w:cs="Arial"/>
          <w:sz w:val="22"/>
          <w:szCs w:val="22"/>
        </w:rPr>
        <w:t xml:space="preserve">evenue </w:t>
      </w:r>
      <w:r w:rsidR="00D20AE0">
        <w:rPr>
          <w:rFonts w:cs="Arial"/>
          <w:sz w:val="22"/>
          <w:szCs w:val="22"/>
        </w:rPr>
        <w:t>a</w:t>
      </w:r>
      <w:r w:rsidRPr="00387207">
        <w:rPr>
          <w:rFonts w:cs="Arial"/>
          <w:sz w:val="22"/>
          <w:szCs w:val="22"/>
        </w:rPr>
        <w:t>ccount</w:t>
      </w:r>
      <w:r w:rsidR="00D20AE0">
        <w:rPr>
          <w:rFonts w:cs="Arial"/>
          <w:sz w:val="22"/>
          <w:szCs w:val="22"/>
        </w:rPr>
        <w:t xml:space="preserve"> (HRA)</w:t>
      </w:r>
      <w:r w:rsidRPr="00387207">
        <w:rPr>
          <w:rFonts w:cs="Arial"/>
          <w:sz w:val="22"/>
          <w:szCs w:val="22"/>
        </w:rPr>
        <w:t xml:space="preserve">. The impact of the bid on the HRA is positive due to the Council gaining more income from the rents from having these properties than </w:t>
      </w:r>
      <w:r w:rsidR="597F0B8F" w:rsidRPr="00387207">
        <w:rPr>
          <w:rFonts w:cs="Arial"/>
          <w:sz w:val="22"/>
          <w:szCs w:val="22"/>
        </w:rPr>
        <w:t xml:space="preserve">it will lose </w:t>
      </w:r>
      <w:r w:rsidRPr="00387207">
        <w:rPr>
          <w:rFonts w:cs="Arial"/>
          <w:sz w:val="22"/>
          <w:szCs w:val="22"/>
        </w:rPr>
        <w:t xml:space="preserve">in the interest charges on the debt to purchase them, due to the relatively generous grant arrangements. The purchases collectively </w:t>
      </w:r>
      <w:r w:rsidR="21DDD25D" w:rsidRPr="00387207">
        <w:rPr>
          <w:rFonts w:cs="Arial"/>
          <w:sz w:val="22"/>
          <w:szCs w:val="22"/>
        </w:rPr>
        <w:t xml:space="preserve">achieve an initial ICR value of </w:t>
      </w:r>
      <w:r w:rsidR="00AB5173">
        <w:rPr>
          <w:rFonts w:cs="Arial"/>
          <w:sz w:val="22"/>
          <w:szCs w:val="22"/>
        </w:rPr>
        <w:t>1.65</w:t>
      </w:r>
      <w:r w:rsidR="0F8D2D70" w:rsidRPr="00387207">
        <w:rPr>
          <w:rFonts w:cs="Arial"/>
          <w:sz w:val="22"/>
          <w:szCs w:val="22"/>
        </w:rPr>
        <w:t xml:space="preserve"> </w:t>
      </w:r>
      <w:r w:rsidR="21DDD25D" w:rsidRPr="00387207">
        <w:rPr>
          <w:rFonts w:cs="Arial"/>
          <w:sz w:val="22"/>
          <w:szCs w:val="22"/>
        </w:rPr>
        <w:t xml:space="preserve">which is well above </w:t>
      </w:r>
      <w:r w:rsidRPr="00387207">
        <w:rPr>
          <w:rFonts w:cs="Arial"/>
          <w:sz w:val="22"/>
          <w:szCs w:val="22"/>
        </w:rPr>
        <w:t>the interim minimum</w:t>
      </w:r>
      <w:r w:rsidR="21DDD25D" w:rsidRPr="00387207">
        <w:rPr>
          <w:rFonts w:cs="Arial"/>
          <w:sz w:val="22"/>
          <w:szCs w:val="22"/>
        </w:rPr>
        <w:t xml:space="preserve"> requirement of 1.</w:t>
      </w:r>
      <w:r w:rsidR="4A7F5F92" w:rsidRPr="00387207">
        <w:rPr>
          <w:rFonts w:cs="Arial"/>
          <w:sz w:val="22"/>
          <w:szCs w:val="22"/>
        </w:rPr>
        <w:t>25</w:t>
      </w:r>
      <w:r w:rsidRPr="00387207">
        <w:rPr>
          <w:rFonts w:cs="Arial"/>
          <w:sz w:val="22"/>
          <w:szCs w:val="22"/>
        </w:rPr>
        <w:t xml:space="preserve"> and </w:t>
      </w:r>
      <w:r w:rsidR="21DDD25D" w:rsidRPr="00387207">
        <w:rPr>
          <w:rFonts w:cs="Arial"/>
          <w:sz w:val="22"/>
          <w:szCs w:val="22"/>
        </w:rPr>
        <w:t xml:space="preserve">overall </w:t>
      </w:r>
      <w:r w:rsidRPr="00387207">
        <w:rPr>
          <w:rFonts w:cs="Arial"/>
          <w:sz w:val="22"/>
          <w:szCs w:val="22"/>
        </w:rPr>
        <w:t xml:space="preserve">has a negligible impact on </w:t>
      </w:r>
      <w:r w:rsidR="21DDD25D" w:rsidRPr="00387207">
        <w:rPr>
          <w:rFonts w:cs="Arial"/>
          <w:sz w:val="22"/>
          <w:szCs w:val="22"/>
        </w:rPr>
        <w:t xml:space="preserve">the current ICR of </w:t>
      </w:r>
      <w:r w:rsidRPr="00387207">
        <w:rPr>
          <w:rFonts w:cs="Arial"/>
          <w:sz w:val="22"/>
          <w:szCs w:val="22"/>
        </w:rPr>
        <w:t xml:space="preserve">the HRA. </w:t>
      </w:r>
    </w:p>
    <w:p w14:paraId="020786C6" w14:textId="77777777" w:rsidR="0080160A" w:rsidRDefault="005970C6" w:rsidP="0080160A">
      <w:pPr>
        <w:pStyle w:val="ListParagraph"/>
        <w:rPr>
          <w:rFonts w:cs="Arial"/>
          <w:sz w:val="22"/>
          <w:szCs w:val="22"/>
        </w:rPr>
      </w:pPr>
      <w:r w:rsidRPr="0080160A">
        <w:rPr>
          <w:rFonts w:cs="Arial"/>
          <w:sz w:val="22"/>
          <w:szCs w:val="22"/>
        </w:rPr>
        <w:t>All</w:t>
      </w:r>
      <w:r w:rsidR="18B4B97C" w:rsidRPr="0080160A">
        <w:rPr>
          <w:rFonts w:cs="Arial"/>
          <w:sz w:val="22"/>
          <w:szCs w:val="22"/>
        </w:rPr>
        <w:t xml:space="preserve"> the units purchased will need to be brought up to decorative order and a budget has been set for all </w:t>
      </w:r>
      <w:r w:rsidR="008810F1" w:rsidRPr="0080160A">
        <w:rPr>
          <w:rFonts w:cs="Arial"/>
          <w:sz w:val="22"/>
          <w:szCs w:val="22"/>
        </w:rPr>
        <w:t>5</w:t>
      </w:r>
      <w:r w:rsidR="18B4B97C" w:rsidRPr="0080160A">
        <w:rPr>
          <w:rFonts w:cs="Arial"/>
          <w:sz w:val="22"/>
          <w:szCs w:val="22"/>
        </w:rPr>
        <w:t xml:space="preserve"> properties to allow for identified refurbishment works contracted through </w:t>
      </w:r>
      <w:r w:rsidR="001D50EA" w:rsidRPr="0080160A">
        <w:rPr>
          <w:rFonts w:cs="Arial"/>
          <w:sz w:val="22"/>
          <w:szCs w:val="22"/>
        </w:rPr>
        <w:t xml:space="preserve">Oxford Direct Services </w:t>
      </w:r>
      <w:r w:rsidR="18B4B97C" w:rsidRPr="0080160A">
        <w:rPr>
          <w:rFonts w:cs="Arial"/>
          <w:sz w:val="22"/>
          <w:szCs w:val="22"/>
        </w:rPr>
        <w:t xml:space="preserve">prior to the unit being ready to let </w:t>
      </w:r>
      <w:r w:rsidR="00691827" w:rsidRPr="0080160A">
        <w:rPr>
          <w:rFonts w:cs="Arial"/>
          <w:sz w:val="22"/>
          <w:szCs w:val="22"/>
        </w:rPr>
        <w:t>to</w:t>
      </w:r>
      <w:r w:rsidR="18B4B97C" w:rsidRPr="0080160A">
        <w:rPr>
          <w:rFonts w:cs="Arial"/>
          <w:sz w:val="22"/>
          <w:szCs w:val="22"/>
        </w:rPr>
        <w:t xml:space="preserve"> meet HRA standards.</w:t>
      </w:r>
      <w:r w:rsidR="004835C7" w:rsidRPr="0080160A">
        <w:rPr>
          <w:rFonts w:cs="Arial"/>
          <w:sz w:val="22"/>
          <w:szCs w:val="22"/>
        </w:rPr>
        <w:t xml:space="preserve"> In order not to have an impact on the general void and operational works</w:t>
      </w:r>
      <w:r w:rsidRPr="0080160A">
        <w:rPr>
          <w:rFonts w:cs="Arial"/>
          <w:sz w:val="22"/>
          <w:szCs w:val="22"/>
        </w:rPr>
        <w:t>,</w:t>
      </w:r>
      <w:r w:rsidR="004835C7" w:rsidRPr="0080160A">
        <w:rPr>
          <w:rFonts w:cs="Arial"/>
          <w:sz w:val="22"/>
          <w:szCs w:val="22"/>
        </w:rPr>
        <w:t xml:space="preserve"> all properties will be inspected prior to </w:t>
      </w:r>
      <w:r w:rsidR="00691827" w:rsidRPr="0080160A">
        <w:rPr>
          <w:rFonts w:cs="Arial"/>
          <w:sz w:val="22"/>
          <w:szCs w:val="22"/>
        </w:rPr>
        <w:t>entering</w:t>
      </w:r>
      <w:r w:rsidR="004835C7" w:rsidRPr="0080160A">
        <w:rPr>
          <w:rFonts w:cs="Arial"/>
          <w:sz w:val="22"/>
          <w:szCs w:val="22"/>
        </w:rPr>
        <w:t xml:space="preserve"> a sale contrac</w:t>
      </w:r>
      <w:r w:rsidR="006C1C1E" w:rsidRPr="0080160A">
        <w:rPr>
          <w:rFonts w:cs="Arial"/>
          <w:sz w:val="22"/>
          <w:szCs w:val="22"/>
        </w:rPr>
        <w:t>t to ensure the properties purchased are in good decorative order</w:t>
      </w:r>
      <w:r w:rsidR="004835C7" w:rsidRPr="0080160A">
        <w:rPr>
          <w:rFonts w:cs="Arial"/>
          <w:sz w:val="22"/>
          <w:szCs w:val="22"/>
        </w:rPr>
        <w:t xml:space="preserve">. </w:t>
      </w:r>
      <w:r w:rsidR="18B4B97C" w:rsidRPr="0080160A">
        <w:rPr>
          <w:rFonts w:cs="Arial"/>
          <w:sz w:val="22"/>
          <w:szCs w:val="22"/>
        </w:rPr>
        <w:t>The Council will take steps to ensure all properties purchased are of a standard that would not require levels of investment beyond the budgeted envelope for the programme</w:t>
      </w:r>
      <w:r w:rsidR="004835C7" w:rsidRPr="0080160A">
        <w:rPr>
          <w:rFonts w:cs="Arial"/>
          <w:sz w:val="22"/>
          <w:szCs w:val="22"/>
        </w:rPr>
        <w:t xml:space="preserve">. </w:t>
      </w:r>
    </w:p>
    <w:p w14:paraId="65E95669" w14:textId="340D6C7B" w:rsidR="0087464F" w:rsidRPr="0080160A" w:rsidRDefault="0087464F" w:rsidP="0080160A">
      <w:pPr>
        <w:pStyle w:val="ListParagraph"/>
        <w:rPr>
          <w:rFonts w:cs="Arial"/>
          <w:sz w:val="22"/>
          <w:szCs w:val="22"/>
        </w:rPr>
      </w:pPr>
      <w:r w:rsidRPr="0080160A">
        <w:rPr>
          <w:rFonts w:cs="Arial"/>
          <w:sz w:val="22"/>
          <w:szCs w:val="22"/>
        </w:rPr>
        <w:t xml:space="preserve">The amount of grant allocated by the government is £856,225 consisting of £849,000 capital grant, and £7,225 for revenue costs. This is to be received </w:t>
      </w:r>
      <w:r w:rsidR="00A56915" w:rsidRPr="0080160A">
        <w:rPr>
          <w:rFonts w:cs="Arial"/>
          <w:sz w:val="22"/>
          <w:szCs w:val="22"/>
        </w:rPr>
        <w:t>in the following tranches</w:t>
      </w:r>
      <w:r w:rsidRPr="0080160A">
        <w:rPr>
          <w:rFonts w:cs="Arial"/>
          <w:sz w:val="22"/>
          <w:szCs w:val="22"/>
        </w:rPr>
        <w:t>:</w:t>
      </w:r>
    </w:p>
    <w:p w14:paraId="09AE7854" w14:textId="77777777" w:rsidR="000E4758" w:rsidRPr="00120227" w:rsidRDefault="000E4758" w:rsidP="00E85A10">
      <w:pPr>
        <w:rPr>
          <w:rFonts w:cs="Arial"/>
          <w:sz w:val="22"/>
          <w:szCs w:val="22"/>
          <w:highlight w:val="yellow"/>
        </w:rPr>
      </w:pPr>
    </w:p>
    <w:p w14:paraId="01EF1603" w14:textId="0362F267" w:rsidR="00564A5B" w:rsidRPr="00387207" w:rsidRDefault="00564A5B" w:rsidP="00AA2A00">
      <w:pPr>
        <w:rPr>
          <w:rFonts w:cs="Arial"/>
          <w:b/>
          <w:sz w:val="22"/>
          <w:szCs w:val="22"/>
        </w:rPr>
      </w:pPr>
      <w:r w:rsidRPr="00387207">
        <w:rPr>
          <w:rFonts w:cs="Arial"/>
          <w:b/>
          <w:sz w:val="22"/>
          <w:szCs w:val="22"/>
        </w:rPr>
        <w:t>Table 1</w:t>
      </w:r>
    </w:p>
    <w:tbl>
      <w:tblPr>
        <w:tblStyle w:val="TableGrid"/>
        <w:tblW w:w="9375" w:type="dxa"/>
        <w:tblLayout w:type="fixed"/>
        <w:tblLook w:val="04A0" w:firstRow="1" w:lastRow="0" w:firstColumn="1" w:lastColumn="0" w:noHBand="0" w:noVBand="1"/>
      </w:tblPr>
      <w:tblGrid>
        <w:gridCol w:w="2830"/>
        <w:gridCol w:w="2268"/>
        <w:gridCol w:w="2346"/>
        <w:gridCol w:w="1931"/>
      </w:tblGrid>
      <w:tr w:rsidR="00292A60" w:rsidRPr="00387207" w14:paraId="56D027FC" w14:textId="77777777" w:rsidTr="005E5623">
        <w:trPr>
          <w:trHeight w:val="598"/>
        </w:trPr>
        <w:tc>
          <w:tcPr>
            <w:tcW w:w="2830" w:type="dxa"/>
            <w:shd w:val="clear" w:color="auto" w:fill="D9D9D9" w:themeFill="background1" w:themeFillShade="D9"/>
            <w:hideMark/>
          </w:tcPr>
          <w:p w14:paraId="4D703DBE" w14:textId="77777777" w:rsidR="00292A60" w:rsidRPr="00387207" w:rsidRDefault="00292A60" w:rsidP="005E5623">
            <w:pPr>
              <w:textAlignment w:val="baseline"/>
              <w:rPr>
                <w:rFonts w:cs="Arial"/>
                <w:sz w:val="22"/>
                <w:szCs w:val="22"/>
              </w:rPr>
            </w:pPr>
          </w:p>
        </w:tc>
        <w:tc>
          <w:tcPr>
            <w:tcW w:w="2268" w:type="dxa"/>
            <w:shd w:val="clear" w:color="auto" w:fill="D9D9D9" w:themeFill="background1" w:themeFillShade="D9"/>
            <w:hideMark/>
          </w:tcPr>
          <w:p w14:paraId="65FD6D79" w14:textId="77777777" w:rsidR="00292A60" w:rsidRPr="00387207" w:rsidRDefault="00292A60" w:rsidP="005E5623">
            <w:pPr>
              <w:textAlignment w:val="baseline"/>
              <w:rPr>
                <w:rFonts w:cs="Arial"/>
                <w:b/>
                <w:bCs/>
                <w:sz w:val="22"/>
                <w:szCs w:val="22"/>
              </w:rPr>
            </w:pPr>
            <w:r w:rsidRPr="00387207">
              <w:rPr>
                <w:rFonts w:cs="Arial"/>
                <w:b/>
                <w:bCs/>
                <w:sz w:val="22"/>
                <w:szCs w:val="22"/>
              </w:rPr>
              <w:t>Tranche 1 allocation</w:t>
            </w:r>
          </w:p>
        </w:tc>
        <w:tc>
          <w:tcPr>
            <w:tcW w:w="2346" w:type="dxa"/>
            <w:shd w:val="clear" w:color="auto" w:fill="D9D9D9" w:themeFill="background1" w:themeFillShade="D9"/>
          </w:tcPr>
          <w:p w14:paraId="465DB7CA" w14:textId="77777777" w:rsidR="00292A60" w:rsidRPr="00387207" w:rsidRDefault="00292A60" w:rsidP="005E5623">
            <w:pPr>
              <w:textAlignment w:val="baseline"/>
              <w:rPr>
                <w:rFonts w:cs="Arial"/>
                <w:b/>
                <w:bCs/>
                <w:sz w:val="22"/>
                <w:szCs w:val="22"/>
              </w:rPr>
            </w:pPr>
            <w:r w:rsidRPr="00387207">
              <w:rPr>
                <w:rFonts w:cs="Arial"/>
                <w:b/>
                <w:bCs/>
                <w:sz w:val="22"/>
                <w:szCs w:val="22"/>
              </w:rPr>
              <w:t>Tranche 2 allocation</w:t>
            </w:r>
          </w:p>
        </w:tc>
        <w:tc>
          <w:tcPr>
            <w:tcW w:w="1931" w:type="dxa"/>
            <w:shd w:val="clear" w:color="auto" w:fill="D9D9D9" w:themeFill="background1" w:themeFillShade="D9"/>
          </w:tcPr>
          <w:p w14:paraId="14608B64" w14:textId="77777777" w:rsidR="00292A60" w:rsidRPr="00387207" w:rsidDel="00EC3BB7" w:rsidRDefault="00292A60" w:rsidP="005E5623">
            <w:pPr>
              <w:textAlignment w:val="baseline"/>
              <w:rPr>
                <w:rFonts w:cs="Arial"/>
                <w:b/>
                <w:bCs/>
                <w:sz w:val="22"/>
                <w:szCs w:val="22"/>
              </w:rPr>
            </w:pPr>
            <w:r w:rsidRPr="00387207">
              <w:rPr>
                <w:rFonts w:cs="Arial"/>
                <w:b/>
                <w:bCs/>
                <w:sz w:val="22"/>
                <w:szCs w:val="22"/>
              </w:rPr>
              <w:t>Total allocation</w:t>
            </w:r>
          </w:p>
        </w:tc>
      </w:tr>
      <w:tr w:rsidR="00292A60" w:rsidRPr="00387207" w14:paraId="0023A91B" w14:textId="77777777" w:rsidTr="005E5623">
        <w:trPr>
          <w:trHeight w:val="699"/>
        </w:trPr>
        <w:tc>
          <w:tcPr>
            <w:tcW w:w="2830" w:type="dxa"/>
            <w:hideMark/>
          </w:tcPr>
          <w:p w14:paraId="0A9AD248" w14:textId="77777777" w:rsidR="00292A60" w:rsidRPr="00387207" w:rsidRDefault="00292A60" w:rsidP="005E5623">
            <w:pPr>
              <w:textAlignment w:val="baseline"/>
              <w:rPr>
                <w:rFonts w:cs="Arial"/>
                <w:sz w:val="22"/>
                <w:szCs w:val="22"/>
              </w:rPr>
            </w:pPr>
            <w:r w:rsidRPr="00387207">
              <w:rPr>
                <w:rFonts w:cs="Arial"/>
                <w:b/>
                <w:bCs/>
                <w:sz w:val="22"/>
                <w:szCs w:val="22"/>
              </w:rPr>
              <w:t>Total funding</w:t>
            </w:r>
            <w:r w:rsidRPr="00387207">
              <w:rPr>
                <w:rFonts w:cs="Arial"/>
                <w:sz w:val="22"/>
                <w:szCs w:val="22"/>
              </w:rPr>
              <w:t>  </w:t>
            </w:r>
          </w:p>
        </w:tc>
        <w:tc>
          <w:tcPr>
            <w:tcW w:w="2268" w:type="dxa"/>
          </w:tcPr>
          <w:p w14:paraId="7081BE90" w14:textId="1C365357" w:rsidR="00292A60" w:rsidRPr="00387207" w:rsidRDefault="00292A60" w:rsidP="005E5623">
            <w:pPr>
              <w:jc w:val="right"/>
              <w:textAlignment w:val="baseline"/>
              <w:rPr>
                <w:rFonts w:cs="Arial"/>
                <w:sz w:val="22"/>
                <w:szCs w:val="22"/>
              </w:rPr>
            </w:pPr>
            <w:r w:rsidRPr="00387207">
              <w:rPr>
                <w:rFonts w:cs="Arial"/>
                <w:sz w:val="22"/>
                <w:szCs w:val="22"/>
              </w:rPr>
              <w:t>£</w:t>
            </w:r>
            <w:r w:rsidR="008810F1" w:rsidRPr="00387207">
              <w:rPr>
                <w:rFonts w:cs="Arial"/>
                <w:noProof/>
                <w:sz w:val="22"/>
                <w:szCs w:val="22"/>
              </w:rPr>
              <w:t>261,925</w:t>
            </w:r>
          </w:p>
        </w:tc>
        <w:tc>
          <w:tcPr>
            <w:tcW w:w="2346" w:type="dxa"/>
          </w:tcPr>
          <w:p w14:paraId="3C78932C" w14:textId="2756E408" w:rsidR="00292A60" w:rsidRPr="00387207" w:rsidRDefault="00292A60" w:rsidP="005E5623">
            <w:pPr>
              <w:jc w:val="right"/>
              <w:textAlignment w:val="baseline"/>
              <w:rPr>
                <w:rFonts w:cs="Arial"/>
                <w:b/>
                <w:sz w:val="22"/>
                <w:szCs w:val="22"/>
              </w:rPr>
            </w:pPr>
            <w:r w:rsidRPr="00387207">
              <w:rPr>
                <w:rFonts w:cs="Arial"/>
                <w:bCs/>
                <w:sz w:val="22"/>
                <w:szCs w:val="22"/>
              </w:rPr>
              <w:t>£</w:t>
            </w:r>
            <w:r w:rsidR="008810F1" w:rsidRPr="00387207">
              <w:rPr>
                <w:rFonts w:cs="Arial"/>
                <w:bCs/>
                <w:noProof/>
                <w:sz w:val="22"/>
                <w:szCs w:val="22"/>
              </w:rPr>
              <w:t>594,300</w:t>
            </w:r>
          </w:p>
        </w:tc>
        <w:tc>
          <w:tcPr>
            <w:tcW w:w="1931" w:type="dxa"/>
          </w:tcPr>
          <w:p w14:paraId="78B2D85F" w14:textId="6C92E175" w:rsidR="00292A60" w:rsidRPr="00387207" w:rsidRDefault="00292A60" w:rsidP="005E5623">
            <w:pPr>
              <w:jc w:val="right"/>
              <w:textAlignment w:val="baseline"/>
              <w:rPr>
                <w:rFonts w:cs="Arial"/>
                <w:b/>
                <w:sz w:val="22"/>
                <w:szCs w:val="22"/>
              </w:rPr>
            </w:pPr>
            <w:r w:rsidRPr="00387207">
              <w:rPr>
                <w:rFonts w:cs="Arial"/>
                <w:bCs/>
                <w:sz w:val="22"/>
                <w:szCs w:val="22"/>
              </w:rPr>
              <w:t>£</w:t>
            </w:r>
            <w:r w:rsidR="008810F1" w:rsidRPr="00387207">
              <w:rPr>
                <w:rFonts w:cs="Arial"/>
                <w:noProof/>
                <w:sz w:val="22"/>
                <w:szCs w:val="22"/>
              </w:rPr>
              <w:t>856,225</w:t>
            </w:r>
          </w:p>
        </w:tc>
      </w:tr>
    </w:tbl>
    <w:p w14:paraId="6D8DDBC3" w14:textId="77777777" w:rsidR="00564A5B" w:rsidRPr="00387207" w:rsidRDefault="00564A5B" w:rsidP="00292A60">
      <w:pPr>
        <w:rPr>
          <w:rFonts w:eastAsiaTheme="minorHAnsi" w:cs="Arial"/>
          <w:sz w:val="22"/>
          <w:szCs w:val="22"/>
          <w:lang w:eastAsia="en-US"/>
        </w:rPr>
      </w:pPr>
    </w:p>
    <w:p w14:paraId="7634AB1E" w14:textId="6C323119" w:rsidR="00564A5B" w:rsidRPr="00387207" w:rsidRDefault="00564A5B" w:rsidP="005B0954">
      <w:pPr>
        <w:ind w:left="426" w:hanging="426"/>
        <w:rPr>
          <w:rFonts w:eastAsiaTheme="minorHAnsi" w:cs="Arial"/>
          <w:b/>
          <w:sz w:val="22"/>
          <w:szCs w:val="22"/>
          <w:lang w:eastAsia="en-US"/>
        </w:rPr>
      </w:pPr>
      <w:r w:rsidRPr="00387207">
        <w:rPr>
          <w:rFonts w:eastAsiaTheme="minorHAnsi" w:cs="Arial"/>
          <w:b/>
          <w:sz w:val="22"/>
          <w:szCs w:val="22"/>
          <w:lang w:eastAsia="en-US"/>
        </w:rPr>
        <w:t>Table 2</w:t>
      </w:r>
    </w:p>
    <w:tbl>
      <w:tblPr>
        <w:tblW w:w="9281" w:type="dxa"/>
        <w:tblInd w:w="-3" w:type="dxa"/>
        <w:tblCellMar>
          <w:left w:w="0" w:type="dxa"/>
          <w:right w:w="0" w:type="dxa"/>
        </w:tblCellMar>
        <w:tblLook w:val="04A0" w:firstRow="1" w:lastRow="0" w:firstColumn="1" w:lastColumn="0" w:noHBand="0" w:noVBand="1"/>
      </w:tblPr>
      <w:tblGrid>
        <w:gridCol w:w="3963"/>
        <w:gridCol w:w="1884"/>
        <w:gridCol w:w="2062"/>
        <w:gridCol w:w="1372"/>
      </w:tblGrid>
      <w:tr w:rsidR="00691458" w:rsidRPr="00387207" w14:paraId="3BC7174F" w14:textId="6E5E9C4E" w:rsidTr="00F865FA">
        <w:trPr>
          <w:trHeight w:val="210"/>
        </w:trPr>
        <w:tc>
          <w:tcPr>
            <w:tcW w:w="3963" w:type="dxa"/>
            <w:vMerge w:val="restart"/>
            <w:tcBorders>
              <w:top w:val="single" w:sz="8" w:space="0" w:color="auto"/>
              <w:left w:val="single" w:sz="4" w:space="0" w:color="auto"/>
              <w:bottom w:val="single" w:sz="4" w:space="0" w:color="auto"/>
              <w:right w:val="single" w:sz="8" w:space="0" w:color="auto"/>
            </w:tcBorders>
            <w:shd w:val="clear" w:color="auto" w:fill="D9E1F2"/>
            <w:noWrap/>
            <w:tcMar>
              <w:top w:w="0" w:type="dxa"/>
              <w:left w:w="108" w:type="dxa"/>
              <w:bottom w:w="0" w:type="dxa"/>
              <w:right w:w="108" w:type="dxa"/>
            </w:tcMar>
            <w:hideMark/>
          </w:tcPr>
          <w:p w14:paraId="5D9591A9" w14:textId="77777777" w:rsidR="00691458" w:rsidRPr="00387207" w:rsidRDefault="00691458" w:rsidP="005E5623">
            <w:pPr>
              <w:rPr>
                <w:rFonts w:cs="Arial"/>
                <w:b/>
                <w:bCs/>
                <w:sz w:val="22"/>
                <w:szCs w:val="22"/>
              </w:rPr>
            </w:pPr>
            <w:r w:rsidRPr="00387207">
              <w:rPr>
                <w:rFonts w:cs="Arial"/>
                <w:b/>
                <w:bCs/>
                <w:sz w:val="22"/>
                <w:szCs w:val="22"/>
              </w:rPr>
              <w:t>Bids</w:t>
            </w:r>
          </w:p>
        </w:tc>
        <w:tc>
          <w:tcPr>
            <w:tcW w:w="5318" w:type="dxa"/>
            <w:gridSpan w:val="3"/>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1C7F63B" w14:textId="3A404531" w:rsidR="00691458" w:rsidRPr="00387207" w:rsidRDefault="00691458" w:rsidP="005E5623">
            <w:pPr>
              <w:jc w:val="center"/>
              <w:rPr>
                <w:rFonts w:cs="Arial"/>
                <w:b/>
                <w:bCs/>
                <w:sz w:val="22"/>
                <w:szCs w:val="22"/>
              </w:rPr>
            </w:pPr>
            <w:r w:rsidRPr="00387207">
              <w:rPr>
                <w:rFonts w:cs="Arial"/>
                <w:b/>
                <w:bCs/>
                <w:sz w:val="22"/>
                <w:szCs w:val="22"/>
              </w:rPr>
              <w:t>LA Housing Fund</w:t>
            </w:r>
          </w:p>
        </w:tc>
      </w:tr>
      <w:tr w:rsidR="00691458" w:rsidRPr="00387207" w14:paraId="3458420D" w14:textId="6F3DDFD7" w:rsidTr="00F865FA">
        <w:trPr>
          <w:trHeight w:val="300"/>
        </w:trPr>
        <w:tc>
          <w:tcPr>
            <w:tcW w:w="0" w:type="auto"/>
            <w:vMerge/>
            <w:tcBorders>
              <w:top w:val="single" w:sz="8" w:space="0" w:color="auto"/>
              <w:left w:val="single" w:sz="4" w:space="0" w:color="auto"/>
              <w:bottom w:val="single" w:sz="4" w:space="0" w:color="auto"/>
              <w:right w:val="single" w:sz="4" w:space="0" w:color="auto"/>
            </w:tcBorders>
            <w:vAlign w:val="center"/>
            <w:hideMark/>
          </w:tcPr>
          <w:p w14:paraId="5FD60A56" w14:textId="77777777" w:rsidR="00691458" w:rsidRPr="00387207" w:rsidRDefault="00691458" w:rsidP="005E5623">
            <w:pPr>
              <w:rPr>
                <w:rFonts w:eastAsiaTheme="minorHAnsi" w:cs="Arial"/>
                <w:b/>
                <w:bCs/>
                <w:sz w:val="22"/>
                <w:szCs w:val="22"/>
              </w:rPr>
            </w:pPr>
          </w:p>
        </w:tc>
        <w:tc>
          <w:tcPr>
            <w:tcW w:w="1884" w:type="dxa"/>
            <w:tcBorders>
              <w:top w:val="nil"/>
              <w:left w:val="single" w:sz="4"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15780E0" w14:textId="616A6ECD" w:rsidR="00691458" w:rsidRPr="00387207" w:rsidRDefault="00292A60" w:rsidP="003E6411">
            <w:pPr>
              <w:jc w:val="center"/>
              <w:rPr>
                <w:rFonts w:cs="Arial"/>
                <w:b/>
                <w:bCs/>
                <w:sz w:val="22"/>
                <w:szCs w:val="22"/>
              </w:rPr>
            </w:pPr>
            <w:r w:rsidRPr="00387207">
              <w:rPr>
                <w:rFonts w:cs="Arial"/>
                <w:b/>
                <w:bCs/>
                <w:sz w:val="22"/>
                <w:szCs w:val="22"/>
              </w:rPr>
              <w:t>Resettlement</w:t>
            </w:r>
          </w:p>
        </w:tc>
        <w:tc>
          <w:tcPr>
            <w:tcW w:w="2062"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4F7DFFB" w14:textId="15929D64" w:rsidR="00691458" w:rsidRPr="00387207" w:rsidRDefault="00292A60" w:rsidP="005E5623">
            <w:pPr>
              <w:jc w:val="center"/>
              <w:rPr>
                <w:rFonts w:cs="Arial"/>
                <w:b/>
                <w:bCs/>
                <w:sz w:val="22"/>
                <w:szCs w:val="22"/>
              </w:rPr>
            </w:pPr>
            <w:r w:rsidRPr="00387207">
              <w:rPr>
                <w:rFonts w:cs="Arial"/>
                <w:b/>
                <w:bCs/>
                <w:sz w:val="22"/>
                <w:szCs w:val="22"/>
              </w:rPr>
              <w:t>TA</w:t>
            </w:r>
          </w:p>
        </w:tc>
        <w:tc>
          <w:tcPr>
            <w:tcW w:w="1372" w:type="dxa"/>
            <w:tcBorders>
              <w:top w:val="nil"/>
              <w:left w:val="nil"/>
              <w:bottom w:val="single" w:sz="8" w:space="0" w:color="auto"/>
              <w:right w:val="single" w:sz="8" w:space="0" w:color="auto"/>
            </w:tcBorders>
            <w:shd w:val="clear" w:color="auto" w:fill="D9E1F2"/>
          </w:tcPr>
          <w:p w14:paraId="15F37B0D" w14:textId="3EC00E0E" w:rsidR="00691458" w:rsidRPr="00387207" w:rsidRDefault="00691458" w:rsidP="005E5623">
            <w:pPr>
              <w:jc w:val="center"/>
              <w:rPr>
                <w:rFonts w:cs="Arial"/>
                <w:b/>
                <w:bCs/>
                <w:sz w:val="22"/>
                <w:szCs w:val="22"/>
              </w:rPr>
            </w:pPr>
            <w:r w:rsidRPr="00387207">
              <w:rPr>
                <w:rFonts w:cs="Arial"/>
                <w:b/>
                <w:bCs/>
                <w:sz w:val="22"/>
                <w:szCs w:val="22"/>
              </w:rPr>
              <w:t>Total</w:t>
            </w:r>
          </w:p>
        </w:tc>
      </w:tr>
      <w:tr w:rsidR="00691458" w:rsidRPr="00387207" w14:paraId="7213E6F4" w14:textId="38C45FEA" w:rsidTr="00F865FA">
        <w:trPr>
          <w:trHeight w:val="300"/>
        </w:trPr>
        <w:tc>
          <w:tcPr>
            <w:tcW w:w="3963"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EACA75" w14:textId="77777777" w:rsidR="00691458" w:rsidRPr="00387207" w:rsidRDefault="00691458" w:rsidP="005B0954">
            <w:pPr>
              <w:jc w:val="center"/>
              <w:rPr>
                <w:rFonts w:cs="Arial"/>
                <w:sz w:val="22"/>
                <w:szCs w:val="22"/>
              </w:rPr>
            </w:pPr>
            <w:r w:rsidRPr="00387207">
              <w:rPr>
                <w:rFonts w:cs="Arial"/>
                <w:sz w:val="22"/>
                <w:szCs w:val="22"/>
              </w:rPr>
              <w:t>No. of Units</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5CD43" w14:textId="60D8CCE7" w:rsidR="00691458" w:rsidRPr="00387207" w:rsidRDefault="00292A60" w:rsidP="005B0954">
            <w:pPr>
              <w:jc w:val="center"/>
              <w:rPr>
                <w:rFonts w:cs="Arial"/>
                <w:sz w:val="22"/>
                <w:szCs w:val="22"/>
              </w:rPr>
            </w:pPr>
            <w:r w:rsidRPr="00387207">
              <w:rPr>
                <w:rFonts w:cs="Arial"/>
                <w:sz w:val="22"/>
                <w:szCs w:val="22"/>
              </w:rPr>
              <w:t>3</w:t>
            </w:r>
          </w:p>
        </w:tc>
        <w:tc>
          <w:tcPr>
            <w:tcW w:w="20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804640" w14:textId="6E0C8E4E" w:rsidR="00691458" w:rsidRPr="00387207" w:rsidRDefault="008810F1" w:rsidP="005B0954">
            <w:pPr>
              <w:jc w:val="center"/>
              <w:rPr>
                <w:rFonts w:cs="Arial"/>
                <w:sz w:val="22"/>
                <w:szCs w:val="22"/>
              </w:rPr>
            </w:pPr>
            <w:r w:rsidRPr="00387207">
              <w:rPr>
                <w:rFonts w:cs="Arial"/>
                <w:sz w:val="22"/>
                <w:szCs w:val="22"/>
              </w:rPr>
              <w:t>2</w:t>
            </w:r>
          </w:p>
        </w:tc>
        <w:tc>
          <w:tcPr>
            <w:tcW w:w="1372" w:type="dxa"/>
            <w:tcBorders>
              <w:top w:val="nil"/>
              <w:left w:val="nil"/>
              <w:bottom w:val="single" w:sz="8" w:space="0" w:color="auto"/>
              <w:right w:val="single" w:sz="8" w:space="0" w:color="auto"/>
            </w:tcBorders>
          </w:tcPr>
          <w:p w14:paraId="04443F49" w14:textId="7901E312" w:rsidR="00691458" w:rsidRPr="00387207" w:rsidRDefault="008810F1" w:rsidP="005B0954">
            <w:pPr>
              <w:jc w:val="center"/>
              <w:rPr>
                <w:rFonts w:cs="Arial"/>
                <w:sz w:val="22"/>
                <w:szCs w:val="22"/>
              </w:rPr>
            </w:pPr>
            <w:r w:rsidRPr="00387207">
              <w:rPr>
                <w:rFonts w:cs="Arial"/>
                <w:sz w:val="22"/>
                <w:szCs w:val="22"/>
              </w:rPr>
              <w:t>5</w:t>
            </w:r>
          </w:p>
        </w:tc>
      </w:tr>
      <w:tr w:rsidR="00691458" w:rsidRPr="00387207" w14:paraId="7DEE7C9C" w14:textId="493C8A97" w:rsidTr="3D9290ED">
        <w:trPr>
          <w:trHeight w:val="300"/>
        </w:trPr>
        <w:tc>
          <w:tcPr>
            <w:tcW w:w="39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901974" w14:textId="77777777" w:rsidR="00691458" w:rsidRPr="00387207" w:rsidRDefault="00691458" w:rsidP="005B0954">
            <w:pPr>
              <w:jc w:val="center"/>
              <w:rPr>
                <w:rFonts w:cs="Arial"/>
                <w:sz w:val="22"/>
                <w:szCs w:val="22"/>
              </w:rPr>
            </w:pPr>
            <w:r w:rsidRPr="00387207">
              <w:rPr>
                <w:rFonts w:cs="Arial"/>
                <w:sz w:val="22"/>
                <w:szCs w:val="22"/>
              </w:rPr>
              <w:t>Total Cost</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2D1F87" w14:textId="2CCAB672" w:rsidR="00691458" w:rsidRPr="00387207" w:rsidRDefault="00AB5173" w:rsidP="00AB5173">
            <w:pPr>
              <w:jc w:val="center"/>
              <w:rPr>
                <w:rFonts w:cs="Arial"/>
                <w:sz w:val="22"/>
                <w:szCs w:val="22"/>
              </w:rPr>
            </w:pPr>
            <w:r>
              <w:rPr>
                <w:rFonts w:cs="Arial"/>
                <w:sz w:val="22"/>
                <w:szCs w:val="22"/>
              </w:rPr>
              <w:t>£1,</w:t>
            </w:r>
            <w:r w:rsidR="00A56915">
              <w:rPr>
                <w:rFonts w:cs="Arial"/>
                <w:sz w:val="22"/>
                <w:szCs w:val="22"/>
              </w:rPr>
              <w:t>412,000</w:t>
            </w:r>
          </w:p>
        </w:tc>
        <w:tc>
          <w:tcPr>
            <w:tcW w:w="20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1F5436" w14:textId="778FDB49" w:rsidR="00691458" w:rsidRPr="00387207" w:rsidRDefault="00AB5173" w:rsidP="00500307">
            <w:pPr>
              <w:jc w:val="center"/>
              <w:rPr>
                <w:rFonts w:cs="Arial"/>
                <w:sz w:val="22"/>
                <w:szCs w:val="22"/>
              </w:rPr>
            </w:pPr>
            <w:r>
              <w:rPr>
                <w:rFonts w:cs="Arial"/>
                <w:sz w:val="22"/>
                <w:szCs w:val="22"/>
              </w:rPr>
              <w:t>£498,000</w:t>
            </w:r>
          </w:p>
        </w:tc>
        <w:tc>
          <w:tcPr>
            <w:tcW w:w="1372" w:type="dxa"/>
            <w:tcBorders>
              <w:top w:val="nil"/>
              <w:left w:val="nil"/>
              <w:bottom w:val="single" w:sz="8" w:space="0" w:color="auto"/>
              <w:right w:val="single" w:sz="8" w:space="0" w:color="auto"/>
            </w:tcBorders>
          </w:tcPr>
          <w:p w14:paraId="6679A8D7" w14:textId="232FD3E1" w:rsidR="00691458" w:rsidRPr="00387207" w:rsidRDefault="00F865FA" w:rsidP="005B0954">
            <w:pPr>
              <w:jc w:val="center"/>
              <w:rPr>
                <w:rFonts w:cs="Arial"/>
                <w:sz w:val="22"/>
                <w:szCs w:val="22"/>
              </w:rPr>
            </w:pPr>
            <w:r>
              <w:rPr>
                <w:rFonts w:cs="Arial"/>
                <w:sz w:val="22"/>
                <w:szCs w:val="22"/>
              </w:rPr>
              <w:t>£1,</w:t>
            </w:r>
            <w:r w:rsidR="00A56915">
              <w:rPr>
                <w:rFonts w:cs="Arial"/>
                <w:sz w:val="22"/>
                <w:szCs w:val="22"/>
              </w:rPr>
              <w:t>910</w:t>
            </w:r>
            <w:r>
              <w:rPr>
                <w:rFonts w:cs="Arial"/>
                <w:sz w:val="22"/>
                <w:szCs w:val="22"/>
              </w:rPr>
              <w:t>,</w:t>
            </w:r>
            <w:r w:rsidR="00A56915">
              <w:rPr>
                <w:rFonts w:cs="Arial"/>
                <w:sz w:val="22"/>
                <w:szCs w:val="22"/>
              </w:rPr>
              <w:t>0</w:t>
            </w:r>
            <w:r>
              <w:rPr>
                <w:rFonts w:cs="Arial"/>
                <w:sz w:val="22"/>
                <w:szCs w:val="22"/>
              </w:rPr>
              <w:t>00</w:t>
            </w:r>
          </w:p>
        </w:tc>
      </w:tr>
      <w:tr w:rsidR="00691458" w:rsidRPr="00387207" w14:paraId="7D0AC60E" w14:textId="644F2050" w:rsidTr="3D9290ED">
        <w:trPr>
          <w:trHeight w:val="300"/>
        </w:trPr>
        <w:tc>
          <w:tcPr>
            <w:tcW w:w="39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2F5EDD" w14:textId="374FF41C" w:rsidR="00691458" w:rsidRPr="00387207" w:rsidRDefault="00A56915" w:rsidP="00500307">
            <w:pPr>
              <w:jc w:val="center"/>
              <w:rPr>
                <w:rFonts w:cs="Arial"/>
                <w:sz w:val="22"/>
                <w:szCs w:val="22"/>
              </w:rPr>
            </w:pPr>
            <w:r>
              <w:rPr>
                <w:rFonts w:cs="Arial"/>
                <w:sz w:val="22"/>
                <w:szCs w:val="22"/>
              </w:rPr>
              <w:t>Grant Funding</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57173B" w14:textId="29C725BE" w:rsidR="00691458" w:rsidRPr="00387207" w:rsidRDefault="00A56915" w:rsidP="00500307">
            <w:pPr>
              <w:jc w:val="center"/>
              <w:rPr>
                <w:rFonts w:cs="Arial"/>
                <w:sz w:val="22"/>
                <w:szCs w:val="22"/>
              </w:rPr>
            </w:pPr>
            <w:r>
              <w:rPr>
                <w:rFonts w:cs="Arial"/>
                <w:sz w:val="22"/>
                <w:szCs w:val="22"/>
              </w:rPr>
              <w:t>£649,800</w:t>
            </w:r>
          </w:p>
        </w:tc>
        <w:tc>
          <w:tcPr>
            <w:tcW w:w="20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230F33" w14:textId="7AB85B81" w:rsidR="00691458" w:rsidRPr="00387207" w:rsidRDefault="00F865FA" w:rsidP="00500307">
            <w:pPr>
              <w:jc w:val="center"/>
              <w:rPr>
                <w:rFonts w:cs="Arial"/>
                <w:sz w:val="22"/>
                <w:szCs w:val="22"/>
              </w:rPr>
            </w:pPr>
            <w:r>
              <w:rPr>
                <w:rFonts w:cs="Arial"/>
                <w:sz w:val="22"/>
                <w:szCs w:val="22"/>
              </w:rPr>
              <w:t>£199,200</w:t>
            </w:r>
          </w:p>
        </w:tc>
        <w:tc>
          <w:tcPr>
            <w:tcW w:w="1372" w:type="dxa"/>
            <w:tcBorders>
              <w:top w:val="nil"/>
              <w:left w:val="nil"/>
              <w:bottom w:val="single" w:sz="8" w:space="0" w:color="auto"/>
              <w:right w:val="single" w:sz="8" w:space="0" w:color="auto"/>
            </w:tcBorders>
          </w:tcPr>
          <w:p w14:paraId="3106BE97" w14:textId="52938196" w:rsidR="00691458" w:rsidRPr="00387207" w:rsidRDefault="00A56915" w:rsidP="005B0954">
            <w:pPr>
              <w:jc w:val="center"/>
              <w:rPr>
                <w:rFonts w:cs="Arial"/>
                <w:sz w:val="22"/>
                <w:szCs w:val="22"/>
              </w:rPr>
            </w:pPr>
            <w:r>
              <w:rPr>
                <w:rFonts w:cs="Arial"/>
                <w:sz w:val="22"/>
                <w:szCs w:val="22"/>
              </w:rPr>
              <w:t>£849,000</w:t>
            </w:r>
          </w:p>
        </w:tc>
      </w:tr>
    </w:tbl>
    <w:p w14:paraId="366CDE89" w14:textId="77777777" w:rsidR="00564A5B" w:rsidRPr="00387207" w:rsidRDefault="00564A5B" w:rsidP="00564A5B">
      <w:pPr>
        <w:rPr>
          <w:rFonts w:cs="Arial"/>
          <w:sz w:val="22"/>
          <w:szCs w:val="22"/>
          <w:highlight w:val="yellow"/>
        </w:rPr>
      </w:pPr>
    </w:p>
    <w:p w14:paraId="34C0B722" w14:textId="77777777" w:rsidR="0040736F" w:rsidRPr="00387207" w:rsidRDefault="00DA614B" w:rsidP="004A6D2F">
      <w:pPr>
        <w:pStyle w:val="Heading1"/>
        <w:rPr>
          <w:rFonts w:cs="Arial"/>
          <w:sz w:val="22"/>
          <w:szCs w:val="22"/>
        </w:rPr>
      </w:pPr>
      <w:r w:rsidRPr="00387207">
        <w:rPr>
          <w:rFonts w:cs="Arial"/>
          <w:sz w:val="22"/>
          <w:szCs w:val="22"/>
        </w:rPr>
        <w:t>Legal issues</w:t>
      </w:r>
    </w:p>
    <w:p w14:paraId="24F95582" w14:textId="16ABAFF7" w:rsidR="004F4F63" w:rsidRPr="00D0435C" w:rsidRDefault="4BE0D4B2" w:rsidP="00555CEA">
      <w:pPr>
        <w:pStyle w:val="ListParagraph"/>
        <w:rPr>
          <w:sz w:val="22"/>
          <w:szCs w:val="22"/>
        </w:rPr>
      </w:pPr>
      <w:r w:rsidRPr="00D0435C">
        <w:rPr>
          <w:sz w:val="22"/>
          <w:szCs w:val="22"/>
        </w:rPr>
        <w:t xml:space="preserve">The agreement with </w:t>
      </w:r>
      <w:r w:rsidR="77A9B8CE" w:rsidRPr="00D0435C">
        <w:rPr>
          <w:sz w:val="22"/>
          <w:szCs w:val="22"/>
        </w:rPr>
        <w:t>MHCLG</w:t>
      </w:r>
      <w:r w:rsidRPr="00D0435C">
        <w:rPr>
          <w:sz w:val="22"/>
          <w:szCs w:val="22"/>
        </w:rPr>
        <w:t xml:space="preserve"> is clear</w:t>
      </w:r>
      <w:r w:rsidR="75351B9D" w:rsidRPr="00D0435C">
        <w:rPr>
          <w:sz w:val="22"/>
          <w:szCs w:val="22"/>
        </w:rPr>
        <w:t>,</w:t>
      </w:r>
      <w:r w:rsidRPr="00D0435C">
        <w:rPr>
          <w:sz w:val="22"/>
          <w:szCs w:val="22"/>
        </w:rPr>
        <w:t xml:space="preserve"> it does not create any legal or binding obligations on the Council. If </w:t>
      </w:r>
      <w:r w:rsidR="7211906E" w:rsidRPr="00D0435C">
        <w:rPr>
          <w:sz w:val="22"/>
          <w:szCs w:val="22"/>
        </w:rPr>
        <w:t xml:space="preserve">the Council </w:t>
      </w:r>
      <w:r w:rsidRPr="00D0435C">
        <w:rPr>
          <w:sz w:val="22"/>
          <w:szCs w:val="22"/>
        </w:rPr>
        <w:t xml:space="preserve">were to fail to acquire the properties by </w:t>
      </w:r>
      <w:r w:rsidR="0500E2E1" w:rsidRPr="00D0435C">
        <w:rPr>
          <w:sz w:val="22"/>
          <w:szCs w:val="22"/>
        </w:rPr>
        <w:t>31</w:t>
      </w:r>
      <w:r w:rsidRPr="00D0435C">
        <w:rPr>
          <w:sz w:val="22"/>
          <w:szCs w:val="22"/>
        </w:rPr>
        <w:t xml:space="preserve"> March 202</w:t>
      </w:r>
      <w:r w:rsidR="0500E2E1" w:rsidRPr="00D0435C">
        <w:rPr>
          <w:sz w:val="22"/>
          <w:szCs w:val="22"/>
        </w:rPr>
        <w:t>5</w:t>
      </w:r>
      <w:r w:rsidRPr="00D0435C">
        <w:rPr>
          <w:sz w:val="22"/>
          <w:szCs w:val="22"/>
        </w:rPr>
        <w:t xml:space="preserve">, for reasons such as market conditions, the only consequence </w:t>
      </w:r>
      <w:r w:rsidR="7211906E" w:rsidRPr="00D0435C">
        <w:rPr>
          <w:sz w:val="22"/>
          <w:szCs w:val="22"/>
        </w:rPr>
        <w:t xml:space="preserve">the Council </w:t>
      </w:r>
      <w:r w:rsidRPr="00D0435C">
        <w:rPr>
          <w:sz w:val="22"/>
          <w:szCs w:val="22"/>
        </w:rPr>
        <w:t>would face is to risk losing the grant funding.</w:t>
      </w:r>
    </w:p>
    <w:p w14:paraId="1BF0B580" w14:textId="77777777" w:rsidR="00555CEA" w:rsidRPr="00D0435C" w:rsidRDefault="0073635B" w:rsidP="00555CEA">
      <w:pPr>
        <w:pStyle w:val="ListParagraph"/>
        <w:rPr>
          <w:sz w:val="22"/>
          <w:szCs w:val="22"/>
        </w:rPr>
      </w:pPr>
      <w:r w:rsidRPr="00D0435C">
        <w:rPr>
          <w:sz w:val="22"/>
          <w:szCs w:val="22"/>
        </w:rPr>
        <w:t>The Council has a Public Sector Equality Duty under the Equality Act 2010 to have due regard to the need to:</w:t>
      </w:r>
    </w:p>
    <w:p w14:paraId="7BDAF95C" w14:textId="37743241" w:rsidR="00555CEA" w:rsidRPr="00D0435C" w:rsidRDefault="0073635B" w:rsidP="00555CEA">
      <w:pPr>
        <w:pStyle w:val="ListParagraph"/>
        <w:numPr>
          <w:ilvl w:val="0"/>
          <w:numId w:val="43"/>
        </w:numPr>
        <w:rPr>
          <w:sz w:val="22"/>
          <w:szCs w:val="22"/>
        </w:rPr>
      </w:pPr>
      <w:r w:rsidRPr="00D0435C">
        <w:rPr>
          <w:sz w:val="22"/>
          <w:szCs w:val="22"/>
        </w:rPr>
        <w:t xml:space="preserve">Eliminate discrimination, harassment and victimisation and any other conduct that is prohibited by or under the </w:t>
      </w:r>
      <w:proofErr w:type="gramStart"/>
      <w:r w:rsidRPr="00D0435C">
        <w:rPr>
          <w:sz w:val="22"/>
          <w:szCs w:val="22"/>
        </w:rPr>
        <w:t>Act</w:t>
      </w:r>
      <w:r w:rsidR="00555CEA" w:rsidRPr="00D0435C">
        <w:rPr>
          <w:sz w:val="22"/>
          <w:szCs w:val="22"/>
        </w:rPr>
        <w:t>;</w:t>
      </w:r>
      <w:proofErr w:type="gramEnd"/>
    </w:p>
    <w:p w14:paraId="636F95E2" w14:textId="77777777" w:rsidR="00120227" w:rsidRPr="00D0435C" w:rsidRDefault="0073635B" w:rsidP="00120227">
      <w:pPr>
        <w:pStyle w:val="ListParagraph"/>
        <w:numPr>
          <w:ilvl w:val="0"/>
          <w:numId w:val="43"/>
        </w:numPr>
        <w:rPr>
          <w:sz w:val="22"/>
          <w:szCs w:val="22"/>
        </w:rPr>
      </w:pPr>
      <w:r w:rsidRPr="00D0435C">
        <w:rPr>
          <w:sz w:val="22"/>
          <w:szCs w:val="22"/>
        </w:rPr>
        <w:lastRenderedPageBreak/>
        <w:t xml:space="preserve">Advance equality of opportunity between people who share a relevant protected characteristic and those who don’t share </w:t>
      </w:r>
      <w:proofErr w:type="gramStart"/>
      <w:r w:rsidRPr="00D0435C">
        <w:rPr>
          <w:sz w:val="22"/>
          <w:szCs w:val="22"/>
        </w:rPr>
        <w:t>it;</w:t>
      </w:r>
      <w:proofErr w:type="gramEnd"/>
    </w:p>
    <w:p w14:paraId="0F281EBE" w14:textId="346D62AF" w:rsidR="0073635B" w:rsidRPr="00D0435C" w:rsidRDefault="0073635B" w:rsidP="00120227">
      <w:pPr>
        <w:pStyle w:val="ListParagraph"/>
        <w:numPr>
          <w:ilvl w:val="0"/>
          <w:numId w:val="43"/>
        </w:numPr>
        <w:rPr>
          <w:sz w:val="22"/>
          <w:szCs w:val="22"/>
        </w:rPr>
      </w:pPr>
      <w:r w:rsidRPr="00D0435C">
        <w:rPr>
          <w:sz w:val="22"/>
          <w:szCs w:val="22"/>
        </w:rPr>
        <w:t>Foster good relations between people who share a relevant protected characteristic and those who do not (which involves having due regard</w:t>
      </w:r>
      <w:proofErr w:type="gramStart"/>
      <w:r w:rsidRPr="00D0435C">
        <w:rPr>
          <w:sz w:val="22"/>
          <w:szCs w:val="22"/>
        </w:rPr>
        <w:t>, in particular, to</w:t>
      </w:r>
      <w:proofErr w:type="gramEnd"/>
      <w:r w:rsidRPr="00D0435C">
        <w:rPr>
          <w:sz w:val="22"/>
          <w:szCs w:val="22"/>
        </w:rPr>
        <w:t xml:space="preserve"> the need to tackle prejudice and promote understanding.</w:t>
      </w:r>
    </w:p>
    <w:p w14:paraId="34C0B724" w14:textId="77777777" w:rsidR="002329CF" w:rsidRPr="00387207" w:rsidRDefault="002329CF" w:rsidP="004A6D2F">
      <w:pPr>
        <w:pStyle w:val="Heading1"/>
        <w:rPr>
          <w:rFonts w:cs="Arial"/>
          <w:sz w:val="22"/>
          <w:szCs w:val="22"/>
        </w:rPr>
      </w:pPr>
      <w:r w:rsidRPr="00387207">
        <w:rPr>
          <w:rFonts w:cs="Arial"/>
          <w:sz w:val="22"/>
          <w:szCs w:val="22"/>
        </w:rPr>
        <w:t>Level of risk</w:t>
      </w:r>
    </w:p>
    <w:p w14:paraId="34C0B725" w14:textId="1BBDBAFC" w:rsidR="00BC69A4" w:rsidRPr="00387207" w:rsidRDefault="4BE0D4B2" w:rsidP="3D9290ED">
      <w:pPr>
        <w:pStyle w:val="bParagraphtext"/>
        <w:numPr>
          <w:ilvl w:val="0"/>
          <w:numId w:val="0"/>
        </w:numPr>
        <w:rPr>
          <w:rFonts w:cs="Arial"/>
          <w:sz w:val="22"/>
          <w:szCs w:val="22"/>
        </w:rPr>
      </w:pPr>
      <w:r w:rsidRPr="00387207">
        <w:rPr>
          <w:rFonts w:cs="Arial"/>
          <w:sz w:val="22"/>
          <w:szCs w:val="22"/>
        </w:rPr>
        <w:t>See Risk Register attached</w:t>
      </w:r>
      <w:r w:rsidR="6F085737" w:rsidRPr="00387207">
        <w:rPr>
          <w:rFonts w:cs="Arial"/>
          <w:sz w:val="22"/>
          <w:szCs w:val="22"/>
        </w:rPr>
        <w:t>,</w:t>
      </w:r>
      <w:r w:rsidRPr="00387207">
        <w:rPr>
          <w:rFonts w:cs="Arial"/>
          <w:sz w:val="22"/>
          <w:szCs w:val="22"/>
        </w:rPr>
        <w:t xml:space="preserve"> under Appendix 2</w:t>
      </w:r>
    </w:p>
    <w:p w14:paraId="4270A363" w14:textId="77777777" w:rsidR="009D2E5F" w:rsidRPr="00387207" w:rsidRDefault="002329CF" w:rsidP="009D2E5F">
      <w:pPr>
        <w:pStyle w:val="Heading1"/>
        <w:rPr>
          <w:rFonts w:cs="Arial"/>
          <w:sz w:val="22"/>
          <w:szCs w:val="22"/>
        </w:rPr>
      </w:pPr>
      <w:r w:rsidRPr="00387207">
        <w:rPr>
          <w:rFonts w:cs="Arial"/>
          <w:sz w:val="22"/>
          <w:szCs w:val="22"/>
        </w:rPr>
        <w:t xml:space="preserve">Equalities impact </w:t>
      </w:r>
    </w:p>
    <w:p w14:paraId="34C0B72F" w14:textId="21D61978" w:rsidR="002329CF" w:rsidRDefault="18B4B97C" w:rsidP="004A6D2F">
      <w:pPr>
        <w:pStyle w:val="ListParagraph"/>
        <w:rPr>
          <w:rFonts w:cs="Arial"/>
          <w:sz w:val="22"/>
          <w:szCs w:val="22"/>
        </w:rPr>
      </w:pPr>
      <w:r w:rsidRPr="00387207">
        <w:rPr>
          <w:rFonts w:cs="Arial"/>
          <w:sz w:val="22"/>
          <w:szCs w:val="22"/>
        </w:rPr>
        <w:t>The LAHF R</w:t>
      </w:r>
      <w:r w:rsidR="005E5623" w:rsidRPr="00387207">
        <w:rPr>
          <w:rFonts w:cs="Arial"/>
          <w:sz w:val="22"/>
          <w:szCs w:val="22"/>
        </w:rPr>
        <w:t>3</w:t>
      </w:r>
      <w:r w:rsidRPr="00387207">
        <w:rPr>
          <w:rFonts w:cs="Arial"/>
          <w:sz w:val="22"/>
          <w:szCs w:val="22"/>
        </w:rPr>
        <w:t xml:space="preserve"> and proposal to purchase </w:t>
      </w:r>
      <w:r w:rsidR="008810F1" w:rsidRPr="00387207">
        <w:rPr>
          <w:rFonts w:cs="Arial"/>
          <w:sz w:val="22"/>
          <w:szCs w:val="22"/>
        </w:rPr>
        <w:t>5</w:t>
      </w:r>
      <w:r w:rsidRPr="00387207">
        <w:rPr>
          <w:rFonts w:cs="Arial"/>
          <w:sz w:val="22"/>
          <w:szCs w:val="22"/>
        </w:rPr>
        <w:t xml:space="preserve"> homes is aligned to and forms part of the effort to deliver the Council’s Housing, Homelessness and Rough Sleeping Strategy which has been subject to a full equality impact assessment. There are no adverse impacts</w:t>
      </w:r>
      <w:r w:rsidR="0073635B">
        <w:rPr>
          <w:rFonts w:cs="Arial"/>
          <w:sz w:val="22"/>
          <w:szCs w:val="22"/>
        </w:rPr>
        <w:t>, for the nine protected groups,</w:t>
      </w:r>
      <w:r w:rsidRPr="00387207">
        <w:rPr>
          <w:rFonts w:cs="Arial"/>
          <w:sz w:val="22"/>
          <w:szCs w:val="22"/>
        </w:rPr>
        <w:t xml:space="preserve"> in undertaking this activity, with the potential to improve provision for persons in housing need, through the provision of more affordable housing to better meet client needs.</w:t>
      </w:r>
    </w:p>
    <w:p w14:paraId="4C111476" w14:textId="77777777" w:rsidR="00E85A10" w:rsidRPr="00E85A10" w:rsidRDefault="00E85A10" w:rsidP="00E85A10">
      <w:pPr>
        <w:pStyle w:val="ListParagraph"/>
        <w:numPr>
          <w:ilvl w:val="0"/>
          <w:numId w:val="0"/>
        </w:numPr>
        <w:ind w:left="644"/>
        <w:rPr>
          <w:rFonts w:cs="Arial"/>
          <w:sz w:val="22"/>
          <w:szCs w:val="22"/>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387207" w14:paraId="34C0B732"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34C0B730" w14:textId="77777777" w:rsidR="00E87F7A" w:rsidRPr="00387207" w:rsidRDefault="00E87F7A" w:rsidP="00A46E98">
            <w:pPr>
              <w:rPr>
                <w:rFonts w:cs="Arial"/>
                <w:b/>
                <w:sz w:val="22"/>
                <w:szCs w:val="22"/>
              </w:rPr>
            </w:pPr>
            <w:r w:rsidRPr="00387207">
              <w:rPr>
                <w:rFonts w:cs="Arial"/>
                <w:b/>
                <w:sz w:val="22"/>
                <w:szCs w:val="22"/>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34C0B731" w14:textId="199F66B1" w:rsidR="00E87F7A" w:rsidRPr="00387207" w:rsidRDefault="003E6411" w:rsidP="00A46E98">
            <w:pPr>
              <w:rPr>
                <w:rFonts w:cs="Arial"/>
                <w:sz w:val="22"/>
                <w:szCs w:val="22"/>
              </w:rPr>
            </w:pPr>
            <w:r w:rsidRPr="00387207">
              <w:rPr>
                <w:rFonts w:cs="Arial"/>
                <w:sz w:val="22"/>
                <w:szCs w:val="22"/>
              </w:rPr>
              <w:t>Stephen Cohen</w:t>
            </w:r>
          </w:p>
        </w:tc>
      </w:tr>
      <w:tr w:rsidR="00DF093E" w:rsidRPr="00387207" w14:paraId="34C0B735"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34C0B733" w14:textId="77777777" w:rsidR="00E87F7A" w:rsidRPr="00387207" w:rsidRDefault="00E87F7A" w:rsidP="00A46E98">
            <w:pPr>
              <w:rPr>
                <w:rFonts w:cs="Arial"/>
                <w:sz w:val="22"/>
                <w:szCs w:val="22"/>
              </w:rPr>
            </w:pPr>
            <w:r w:rsidRPr="00387207">
              <w:rPr>
                <w:rFonts w:cs="Arial"/>
                <w:sz w:val="22"/>
                <w:szCs w:val="22"/>
              </w:rPr>
              <w:t>Job title</w:t>
            </w:r>
          </w:p>
        </w:tc>
        <w:tc>
          <w:tcPr>
            <w:tcW w:w="4962" w:type="dxa"/>
            <w:tcBorders>
              <w:top w:val="single" w:sz="8" w:space="0" w:color="000000"/>
              <w:left w:val="nil"/>
              <w:bottom w:val="nil"/>
              <w:right w:val="single" w:sz="8" w:space="0" w:color="000000"/>
            </w:tcBorders>
            <w:shd w:val="clear" w:color="auto" w:fill="auto"/>
          </w:tcPr>
          <w:p w14:paraId="34C0B734" w14:textId="72CE1AF0" w:rsidR="00E87F7A" w:rsidRPr="00387207" w:rsidRDefault="003E6411" w:rsidP="00A46E98">
            <w:pPr>
              <w:rPr>
                <w:rFonts w:cs="Arial"/>
                <w:sz w:val="22"/>
                <w:szCs w:val="22"/>
              </w:rPr>
            </w:pPr>
            <w:r w:rsidRPr="00387207">
              <w:rPr>
                <w:rFonts w:cs="Arial"/>
                <w:sz w:val="22"/>
                <w:szCs w:val="22"/>
              </w:rPr>
              <w:t>Refugee and Resettlement Manager</w:t>
            </w:r>
          </w:p>
        </w:tc>
      </w:tr>
      <w:tr w:rsidR="00DF093E" w:rsidRPr="00387207" w14:paraId="34C0B738" w14:textId="77777777" w:rsidTr="00A46E98">
        <w:trPr>
          <w:cantSplit/>
          <w:trHeight w:val="396"/>
        </w:trPr>
        <w:tc>
          <w:tcPr>
            <w:tcW w:w="3969" w:type="dxa"/>
            <w:tcBorders>
              <w:top w:val="nil"/>
              <w:left w:val="single" w:sz="8" w:space="0" w:color="000000"/>
              <w:bottom w:val="nil"/>
              <w:right w:val="nil"/>
            </w:tcBorders>
            <w:shd w:val="clear" w:color="auto" w:fill="auto"/>
          </w:tcPr>
          <w:p w14:paraId="34C0B736" w14:textId="77777777" w:rsidR="00E87F7A" w:rsidRPr="00387207" w:rsidRDefault="00E87F7A" w:rsidP="00A46E98">
            <w:pPr>
              <w:rPr>
                <w:rFonts w:cs="Arial"/>
                <w:sz w:val="22"/>
                <w:szCs w:val="22"/>
              </w:rPr>
            </w:pPr>
            <w:r w:rsidRPr="00387207">
              <w:rPr>
                <w:rFonts w:cs="Arial"/>
                <w:sz w:val="22"/>
                <w:szCs w:val="22"/>
              </w:rPr>
              <w:t>Service area or department</w:t>
            </w:r>
          </w:p>
        </w:tc>
        <w:tc>
          <w:tcPr>
            <w:tcW w:w="4962" w:type="dxa"/>
            <w:tcBorders>
              <w:top w:val="nil"/>
              <w:left w:val="nil"/>
              <w:bottom w:val="nil"/>
              <w:right w:val="single" w:sz="8" w:space="0" w:color="000000"/>
            </w:tcBorders>
            <w:shd w:val="clear" w:color="auto" w:fill="auto"/>
          </w:tcPr>
          <w:p w14:paraId="34C0B737" w14:textId="01CBF6F4" w:rsidR="00E87F7A" w:rsidRPr="00387207" w:rsidRDefault="003E6411" w:rsidP="00A46E98">
            <w:pPr>
              <w:rPr>
                <w:rFonts w:cs="Arial"/>
                <w:sz w:val="22"/>
                <w:szCs w:val="22"/>
              </w:rPr>
            </w:pPr>
            <w:r w:rsidRPr="00387207">
              <w:rPr>
                <w:rFonts w:cs="Arial"/>
                <w:sz w:val="22"/>
                <w:szCs w:val="22"/>
              </w:rPr>
              <w:t>Housing Services</w:t>
            </w:r>
          </w:p>
        </w:tc>
      </w:tr>
      <w:tr w:rsidR="00DF093E" w:rsidRPr="00387207" w14:paraId="34C0B73B" w14:textId="77777777" w:rsidTr="00A46E98">
        <w:trPr>
          <w:cantSplit/>
          <w:trHeight w:val="396"/>
        </w:trPr>
        <w:tc>
          <w:tcPr>
            <w:tcW w:w="3969" w:type="dxa"/>
            <w:tcBorders>
              <w:top w:val="nil"/>
              <w:left w:val="single" w:sz="8" w:space="0" w:color="000000"/>
              <w:bottom w:val="nil"/>
              <w:right w:val="nil"/>
            </w:tcBorders>
            <w:shd w:val="clear" w:color="auto" w:fill="auto"/>
          </w:tcPr>
          <w:p w14:paraId="34C0B739" w14:textId="77777777" w:rsidR="00E87F7A" w:rsidRPr="00387207" w:rsidRDefault="00E87F7A" w:rsidP="00A46E98">
            <w:pPr>
              <w:rPr>
                <w:rFonts w:cs="Arial"/>
                <w:sz w:val="22"/>
                <w:szCs w:val="22"/>
              </w:rPr>
            </w:pPr>
            <w:r w:rsidRPr="00387207">
              <w:rPr>
                <w:rFonts w:cs="Arial"/>
                <w:sz w:val="22"/>
                <w:szCs w:val="22"/>
              </w:rPr>
              <w:t xml:space="preserve">Telephone </w:t>
            </w:r>
          </w:p>
        </w:tc>
        <w:tc>
          <w:tcPr>
            <w:tcW w:w="4962" w:type="dxa"/>
            <w:tcBorders>
              <w:top w:val="nil"/>
              <w:left w:val="nil"/>
              <w:bottom w:val="nil"/>
              <w:right w:val="single" w:sz="8" w:space="0" w:color="000000"/>
            </w:tcBorders>
            <w:shd w:val="clear" w:color="auto" w:fill="auto"/>
          </w:tcPr>
          <w:p w14:paraId="34C0B73A" w14:textId="75E96D8C" w:rsidR="00E87F7A" w:rsidRPr="00387207" w:rsidRDefault="00DE6621" w:rsidP="00A46E98">
            <w:pPr>
              <w:rPr>
                <w:rFonts w:cs="Arial"/>
                <w:sz w:val="22"/>
                <w:szCs w:val="22"/>
              </w:rPr>
            </w:pPr>
            <w:r w:rsidRPr="00387207">
              <w:rPr>
                <w:rFonts w:cs="Arial"/>
                <w:sz w:val="22"/>
                <w:szCs w:val="22"/>
              </w:rPr>
              <w:t>01865 25</w:t>
            </w:r>
            <w:r w:rsidR="003E6411" w:rsidRPr="00387207">
              <w:rPr>
                <w:rFonts w:cs="Arial"/>
                <w:sz w:val="22"/>
                <w:szCs w:val="22"/>
              </w:rPr>
              <w:t>2569</w:t>
            </w:r>
            <w:r w:rsidR="00E87F7A" w:rsidRPr="00387207">
              <w:rPr>
                <w:rFonts w:cs="Arial"/>
                <w:sz w:val="22"/>
                <w:szCs w:val="22"/>
              </w:rPr>
              <w:t xml:space="preserve"> </w:t>
            </w:r>
          </w:p>
        </w:tc>
      </w:tr>
      <w:tr w:rsidR="005570B5" w:rsidRPr="00387207" w14:paraId="34C0B73E"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34C0B73C" w14:textId="77777777" w:rsidR="00E87F7A" w:rsidRPr="00387207" w:rsidRDefault="00E87F7A" w:rsidP="00A46E98">
            <w:pPr>
              <w:rPr>
                <w:rFonts w:cs="Arial"/>
                <w:sz w:val="22"/>
                <w:szCs w:val="22"/>
              </w:rPr>
            </w:pPr>
            <w:r w:rsidRPr="00387207">
              <w:rPr>
                <w:rFonts w:cs="Arial"/>
                <w:sz w:val="22"/>
                <w:szCs w:val="22"/>
              </w:rPr>
              <w:t xml:space="preserve">e-mail </w:t>
            </w:r>
          </w:p>
        </w:tc>
        <w:tc>
          <w:tcPr>
            <w:tcW w:w="4962" w:type="dxa"/>
            <w:tcBorders>
              <w:top w:val="nil"/>
              <w:left w:val="nil"/>
              <w:bottom w:val="single" w:sz="8" w:space="0" w:color="000000"/>
              <w:right w:val="single" w:sz="8" w:space="0" w:color="000000"/>
            </w:tcBorders>
            <w:shd w:val="clear" w:color="auto" w:fill="auto"/>
          </w:tcPr>
          <w:p w14:paraId="34C0B73D" w14:textId="41C17483" w:rsidR="00E87F7A" w:rsidRPr="00387207" w:rsidRDefault="001A70C1" w:rsidP="00A46E98">
            <w:pPr>
              <w:rPr>
                <w:rStyle w:val="Hyperlink"/>
                <w:rFonts w:cs="Arial"/>
                <w:color w:val="000000"/>
                <w:sz w:val="22"/>
                <w:szCs w:val="22"/>
              </w:rPr>
            </w:pPr>
            <w:hyperlink r:id="rId11" w:history="1">
              <w:r w:rsidR="003E6411" w:rsidRPr="00387207">
                <w:rPr>
                  <w:rStyle w:val="Hyperlink"/>
                  <w:rFonts w:cs="Arial"/>
                  <w:sz w:val="22"/>
                  <w:szCs w:val="22"/>
                </w:rPr>
                <w:t>scohen@oxford.gov.uk</w:t>
              </w:r>
            </w:hyperlink>
            <w:r w:rsidR="003E6411" w:rsidRPr="00387207">
              <w:rPr>
                <w:rStyle w:val="Hyperlink"/>
                <w:rFonts w:cs="Arial"/>
                <w:color w:val="000000"/>
                <w:sz w:val="22"/>
                <w:szCs w:val="22"/>
              </w:rPr>
              <w:t xml:space="preserve"> </w:t>
            </w:r>
          </w:p>
        </w:tc>
      </w:tr>
    </w:tbl>
    <w:p w14:paraId="34C0B73F" w14:textId="77777777" w:rsidR="00433B96" w:rsidRPr="00387207" w:rsidRDefault="00433B96" w:rsidP="004A6D2F">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DF093E" w:rsidRPr="00387207" w14:paraId="34C0B741" w14:textId="77777777" w:rsidTr="00A46E98">
        <w:tc>
          <w:tcPr>
            <w:tcW w:w="8931" w:type="dxa"/>
            <w:gridSpan w:val="2"/>
            <w:tcBorders>
              <w:top w:val="single" w:sz="4" w:space="0" w:color="auto"/>
              <w:left w:val="single" w:sz="4" w:space="0" w:color="auto"/>
              <w:bottom w:val="single" w:sz="8" w:space="0" w:color="000000"/>
              <w:right w:val="single" w:sz="4" w:space="0" w:color="auto"/>
            </w:tcBorders>
            <w:shd w:val="clear" w:color="auto" w:fill="auto"/>
          </w:tcPr>
          <w:p w14:paraId="34C0B740" w14:textId="77777777" w:rsidR="0093067A" w:rsidRPr="00387207" w:rsidRDefault="00182B81" w:rsidP="00F41AC1">
            <w:pPr>
              <w:rPr>
                <w:rFonts w:cs="Arial"/>
                <w:sz w:val="22"/>
                <w:szCs w:val="22"/>
              </w:rPr>
            </w:pPr>
            <w:r w:rsidRPr="00387207">
              <w:rPr>
                <w:rStyle w:val="Firstpagetablebold"/>
                <w:rFonts w:cs="Arial"/>
                <w:sz w:val="22"/>
                <w:szCs w:val="22"/>
              </w:rPr>
              <w:t xml:space="preserve">Background Papers: </w:t>
            </w:r>
            <w:r w:rsidRPr="00387207">
              <w:rPr>
                <w:rStyle w:val="Firstpagetablebold"/>
                <w:rFonts w:cs="Arial"/>
                <w:b w:val="0"/>
                <w:sz w:val="22"/>
                <w:szCs w:val="22"/>
              </w:rPr>
              <w:t>None</w:t>
            </w:r>
          </w:p>
        </w:tc>
      </w:tr>
      <w:tr w:rsidR="00DF093E" w:rsidRPr="00387207" w14:paraId="34C0B744" w14:textId="77777777" w:rsidTr="00A46E98">
        <w:tc>
          <w:tcPr>
            <w:tcW w:w="567" w:type="dxa"/>
            <w:tcBorders>
              <w:top w:val="single" w:sz="8" w:space="0" w:color="000000"/>
              <w:left w:val="single" w:sz="8" w:space="0" w:color="000000"/>
              <w:bottom w:val="nil"/>
              <w:right w:val="nil"/>
            </w:tcBorders>
            <w:shd w:val="clear" w:color="auto" w:fill="auto"/>
          </w:tcPr>
          <w:p w14:paraId="34C0B742" w14:textId="77777777" w:rsidR="0093067A" w:rsidRPr="00387207" w:rsidRDefault="00182B81" w:rsidP="00F41AC1">
            <w:pPr>
              <w:rPr>
                <w:rFonts w:cs="Arial"/>
                <w:sz w:val="22"/>
                <w:szCs w:val="22"/>
              </w:rPr>
            </w:pPr>
            <w:r w:rsidRPr="00387207">
              <w:rPr>
                <w:rFonts w:cs="Arial"/>
                <w:sz w:val="22"/>
                <w:szCs w:val="22"/>
              </w:rPr>
              <w:t>1</w:t>
            </w:r>
          </w:p>
        </w:tc>
        <w:tc>
          <w:tcPr>
            <w:tcW w:w="8364" w:type="dxa"/>
            <w:tcBorders>
              <w:top w:val="single" w:sz="8" w:space="0" w:color="000000"/>
              <w:left w:val="nil"/>
              <w:bottom w:val="nil"/>
              <w:right w:val="single" w:sz="8" w:space="0" w:color="000000"/>
            </w:tcBorders>
          </w:tcPr>
          <w:p w14:paraId="34C0B743" w14:textId="051BDBCB" w:rsidR="0093067A" w:rsidRPr="00387207" w:rsidRDefault="0093067A" w:rsidP="005D0621">
            <w:pPr>
              <w:rPr>
                <w:rFonts w:cs="Arial"/>
                <w:sz w:val="22"/>
                <w:szCs w:val="22"/>
              </w:rPr>
            </w:pPr>
          </w:p>
        </w:tc>
      </w:tr>
      <w:tr w:rsidR="00DF093E" w:rsidRPr="00387207" w14:paraId="34C0B747" w14:textId="77777777" w:rsidTr="00A46E98">
        <w:tc>
          <w:tcPr>
            <w:tcW w:w="567" w:type="dxa"/>
            <w:tcBorders>
              <w:top w:val="nil"/>
              <w:left w:val="single" w:sz="8" w:space="0" w:color="000000"/>
              <w:bottom w:val="nil"/>
              <w:right w:val="nil"/>
            </w:tcBorders>
            <w:shd w:val="clear" w:color="auto" w:fill="auto"/>
          </w:tcPr>
          <w:p w14:paraId="34C0B745" w14:textId="77777777" w:rsidR="0093067A" w:rsidRPr="00387207" w:rsidRDefault="00182B81" w:rsidP="00F41AC1">
            <w:pPr>
              <w:rPr>
                <w:rFonts w:cs="Arial"/>
                <w:sz w:val="22"/>
                <w:szCs w:val="22"/>
              </w:rPr>
            </w:pPr>
            <w:r w:rsidRPr="00387207">
              <w:rPr>
                <w:rFonts w:cs="Arial"/>
                <w:sz w:val="22"/>
                <w:szCs w:val="22"/>
              </w:rPr>
              <w:t>2</w:t>
            </w:r>
          </w:p>
        </w:tc>
        <w:tc>
          <w:tcPr>
            <w:tcW w:w="8364" w:type="dxa"/>
            <w:tcBorders>
              <w:top w:val="nil"/>
              <w:left w:val="nil"/>
              <w:bottom w:val="nil"/>
              <w:right w:val="single" w:sz="8" w:space="0" w:color="000000"/>
            </w:tcBorders>
          </w:tcPr>
          <w:p w14:paraId="34C0B746" w14:textId="77777777" w:rsidR="0093067A" w:rsidRPr="00387207" w:rsidRDefault="0093067A" w:rsidP="00F41AC1">
            <w:pPr>
              <w:rPr>
                <w:rFonts w:cs="Arial"/>
                <w:sz w:val="22"/>
                <w:szCs w:val="22"/>
              </w:rPr>
            </w:pPr>
          </w:p>
        </w:tc>
      </w:tr>
      <w:tr w:rsidR="005570B5" w:rsidRPr="00387207" w14:paraId="34C0B74D" w14:textId="77777777" w:rsidTr="00A46E98">
        <w:tc>
          <w:tcPr>
            <w:tcW w:w="567" w:type="dxa"/>
            <w:tcBorders>
              <w:top w:val="nil"/>
              <w:left w:val="single" w:sz="8" w:space="0" w:color="000000"/>
              <w:bottom w:val="single" w:sz="8" w:space="0" w:color="000000"/>
              <w:right w:val="nil"/>
            </w:tcBorders>
            <w:shd w:val="clear" w:color="auto" w:fill="auto"/>
          </w:tcPr>
          <w:p w14:paraId="34C0B74B" w14:textId="63DDE232" w:rsidR="0093067A" w:rsidRPr="00387207" w:rsidRDefault="00E85A10" w:rsidP="00F41AC1">
            <w:pPr>
              <w:rPr>
                <w:rFonts w:cs="Arial"/>
                <w:sz w:val="22"/>
                <w:szCs w:val="22"/>
              </w:rPr>
            </w:pPr>
            <w:r>
              <w:rPr>
                <w:rFonts w:cs="Arial"/>
                <w:sz w:val="22"/>
                <w:szCs w:val="22"/>
              </w:rPr>
              <w:t>3</w:t>
            </w:r>
          </w:p>
        </w:tc>
        <w:tc>
          <w:tcPr>
            <w:tcW w:w="8364" w:type="dxa"/>
            <w:tcBorders>
              <w:top w:val="nil"/>
              <w:left w:val="nil"/>
              <w:bottom w:val="single" w:sz="8" w:space="0" w:color="000000"/>
              <w:right w:val="single" w:sz="8" w:space="0" w:color="000000"/>
            </w:tcBorders>
          </w:tcPr>
          <w:p w14:paraId="34C0B74C" w14:textId="77777777" w:rsidR="0093067A" w:rsidRPr="00387207" w:rsidRDefault="0093067A" w:rsidP="00F41AC1">
            <w:pPr>
              <w:rPr>
                <w:rFonts w:cs="Arial"/>
                <w:sz w:val="22"/>
                <w:szCs w:val="22"/>
              </w:rPr>
            </w:pPr>
          </w:p>
        </w:tc>
      </w:tr>
    </w:tbl>
    <w:p w14:paraId="34C0B74E" w14:textId="77777777" w:rsidR="00CE4C87" w:rsidRPr="00387207" w:rsidRDefault="00CE4C87" w:rsidP="0093067A">
      <w:pPr>
        <w:rPr>
          <w:rFonts w:cs="Arial"/>
          <w:sz w:val="22"/>
          <w:szCs w:val="22"/>
        </w:rPr>
      </w:pPr>
    </w:p>
    <w:p w14:paraId="34C0B764" w14:textId="77777777" w:rsidR="004456DD" w:rsidRPr="00387207" w:rsidRDefault="004456DD" w:rsidP="0093067A">
      <w:pPr>
        <w:rPr>
          <w:rFonts w:cs="Arial"/>
          <w:sz w:val="22"/>
          <w:szCs w:val="22"/>
        </w:rPr>
      </w:pPr>
    </w:p>
    <w:sectPr w:rsidR="004456DD" w:rsidRPr="00387207" w:rsidSect="002B6836">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4958" w14:textId="77777777" w:rsidR="00B454CC" w:rsidRDefault="00B454CC" w:rsidP="004A6D2F">
      <w:r>
        <w:separator/>
      </w:r>
    </w:p>
  </w:endnote>
  <w:endnote w:type="continuationSeparator" w:id="0">
    <w:p w14:paraId="5DAD0741" w14:textId="77777777" w:rsidR="00B454CC" w:rsidRDefault="00B454CC" w:rsidP="004A6D2F">
      <w:r>
        <w:continuationSeparator/>
      </w:r>
    </w:p>
  </w:endnote>
  <w:endnote w:type="continuationNotice" w:id="1">
    <w:p w14:paraId="50389405" w14:textId="77777777" w:rsidR="00B454CC" w:rsidRDefault="00B454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B76D" w14:textId="77777777" w:rsidR="00364FAD" w:rsidRDefault="00364FAD" w:rsidP="004A6D2F">
    <w:pPr>
      <w:pStyle w:val="Footer"/>
    </w:pPr>
    <w:r>
      <w:t>Do not use a footer or page numbers.</w:t>
    </w:r>
  </w:p>
  <w:p w14:paraId="34C0B76E" w14:textId="77777777" w:rsidR="00364FAD" w:rsidRDefault="00364FAD" w:rsidP="004A6D2F">
    <w:pPr>
      <w:pStyle w:val="Footer"/>
    </w:pPr>
  </w:p>
  <w:p w14:paraId="34C0B76F"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0FF2" w14:textId="77777777" w:rsidR="00FF5BFF" w:rsidRDefault="00FF5B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B771" w14:textId="77777777" w:rsidR="004B11AE" w:rsidRDefault="004B11AE" w:rsidP="004B11AE">
    <w:pPr>
      <w:pStyle w:val="Footer"/>
      <w:rPr>
        <w:sz w:val="16"/>
        <w:szCs w:val="16"/>
      </w:rPr>
    </w:pPr>
    <w:r>
      <w:rPr>
        <w:sz w:val="16"/>
        <w:szCs w:val="16"/>
      </w:rPr>
      <w:t>18 October 2019</w:t>
    </w:r>
  </w:p>
  <w:p w14:paraId="34C0B772"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ED22" w14:textId="77777777" w:rsidR="00B454CC" w:rsidRDefault="00B454CC" w:rsidP="004A6D2F">
      <w:r>
        <w:separator/>
      </w:r>
    </w:p>
  </w:footnote>
  <w:footnote w:type="continuationSeparator" w:id="0">
    <w:p w14:paraId="06D08F12" w14:textId="77777777" w:rsidR="00B454CC" w:rsidRDefault="00B454CC" w:rsidP="004A6D2F">
      <w:r>
        <w:continuationSeparator/>
      </w:r>
    </w:p>
  </w:footnote>
  <w:footnote w:type="continuationNotice" w:id="1">
    <w:p w14:paraId="3FCEA116" w14:textId="77777777" w:rsidR="00B454CC" w:rsidRDefault="00B454CC">
      <w:pPr>
        <w:spacing w:after="0"/>
      </w:pPr>
    </w:p>
  </w:footnote>
  <w:footnote w:id="2">
    <w:p w14:paraId="522F17D0" w14:textId="21F2972D" w:rsidR="3D9290ED" w:rsidRDefault="3D9290ED" w:rsidP="3D9290ED">
      <w:pPr>
        <w:pStyle w:val="FootnoteText"/>
      </w:pPr>
      <w:r w:rsidRPr="3D9290ED">
        <w:rPr>
          <w:rStyle w:val="FootnoteReference"/>
        </w:rPr>
        <w:footnoteRef/>
      </w:r>
      <w:r>
        <w:t xml:space="preserve"> </w:t>
      </w:r>
      <w:hyperlink r:id="rId1">
        <w:r w:rsidRPr="3D9290ED">
          <w:rPr>
            <w:rStyle w:val="Hyperlink"/>
          </w:rPr>
          <w:t>https://www.gov.uk/government/publications/afghan-resettlement-programme-operational-data/afghan-resettlement-programme-operational-data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8CED" w14:textId="77777777" w:rsidR="00FF5BFF" w:rsidRDefault="00FF5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7EC8" w14:textId="77777777" w:rsidR="00FF5BFF" w:rsidRDefault="00FF5B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B770" w14:textId="2107F5C2" w:rsidR="00D5547E" w:rsidRDefault="00C05260" w:rsidP="00D5547E">
    <w:pPr>
      <w:pStyle w:val="Header"/>
      <w:jc w:val="right"/>
    </w:pPr>
    <w:r>
      <w:rPr>
        <w:noProof/>
        <w:color w:val="2B579A"/>
        <w:shd w:val="clear" w:color="auto" w:fill="E6E6E6"/>
      </w:rPr>
      <w:drawing>
        <wp:inline distT="0" distB="0" distL="0" distR="0" wp14:anchorId="34C0B773" wp14:editId="34C0B774">
          <wp:extent cx="838200" cy="1119505"/>
          <wp:effectExtent l="0" t="0" r="0" b="4445"/>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9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lvlText w:val="%1."/>
      <w:lvlJc w:val="left"/>
      <w:pPr>
        <w:ind w:left="644" w:hanging="360"/>
      </w:pPr>
      <w:rPr>
        <w:rFonts w:ascii="Arial" w:hAnsi="Arial" w:hint="default"/>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820E47"/>
    <w:multiLevelType w:val="hybridMultilevel"/>
    <w:tmpl w:val="FB907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2263A6A"/>
    <w:multiLevelType w:val="multilevel"/>
    <w:tmpl w:val="43D6D2FA"/>
    <w:numStyleLink w:val="StyleBulletedSymbolsymbolLeft063cmHanging063cm"/>
  </w:abstractNum>
  <w:abstractNum w:abstractNumId="19" w15:restartNumberingAfterBreak="0">
    <w:nsid w:val="27A808FA"/>
    <w:multiLevelType w:val="hybridMultilevel"/>
    <w:tmpl w:val="72D6199A"/>
    <w:lvl w:ilvl="0" w:tplc="0409000F">
      <w:start w:val="1"/>
      <w:numFmt w:val="decimal"/>
      <w:lvlText w:val="%1."/>
      <w:lvlJc w:val="left"/>
      <w:pPr>
        <w:tabs>
          <w:tab w:val="num" w:pos="720"/>
        </w:tabs>
        <w:ind w:left="720" w:hanging="360"/>
      </w:pPr>
    </w:lvl>
    <w:lvl w:ilvl="1" w:tplc="FFFFFFFF">
      <w:start w:val="1"/>
      <w:numFmt w:val="bullet"/>
      <w:lvlText w:val=""/>
      <w:legacy w:legacy="1" w:legacySpace="360" w:legacyIndent="283"/>
      <w:lvlJc w:val="left"/>
      <w:pPr>
        <w:ind w:left="1363" w:hanging="283"/>
      </w:pPr>
      <w:rPr>
        <w:rFonts w:ascii="Symbol"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D27FB8"/>
    <w:multiLevelType w:val="hybridMultilevel"/>
    <w:tmpl w:val="13C607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343B7F4E"/>
    <w:multiLevelType w:val="hybridMultilevel"/>
    <w:tmpl w:val="6CCEA5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55E140D"/>
    <w:multiLevelType w:val="hybridMultilevel"/>
    <w:tmpl w:val="D3BA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1">
    <w:nsid w:val="4DF037CE"/>
    <w:multiLevelType w:val="multilevel"/>
    <w:tmpl w:val="217E399C"/>
    <w:lvl w:ilvl="0">
      <w:start w:val="1"/>
      <w:numFmt w:val="decimal"/>
      <w:lvlText w:val="%1."/>
      <w:lvlJc w:val="left"/>
      <w:pPr>
        <w:ind w:left="720" w:hanging="360"/>
      </w:pPr>
      <w:rPr>
        <w:rFonts w:hint="default"/>
      </w:rPr>
    </w:lvl>
    <w:lvl w:ilvl="1">
      <w:start w:val="1"/>
      <w:numFmt w:val="bullet"/>
      <w:lvlText w:val=""/>
      <w:lvlJc w:val="left"/>
      <w:pPr>
        <w:ind w:left="1440" w:hanging="720"/>
      </w:pPr>
      <w:rPr>
        <w:rFonts w:ascii="Symbol" w:hAnsi="Symbol"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1">
    <w:nsid w:val="526F36EB"/>
    <w:multiLevelType w:val="multilevel"/>
    <w:tmpl w:val="5E2C3A2A"/>
    <w:lvl w:ilvl="0">
      <w:start w:val="1"/>
      <w:numFmt w:val="decimal"/>
      <w:lvlText w:val="%1."/>
      <w:lvlJc w:val="left"/>
      <w:pPr>
        <w:ind w:left="720" w:hanging="360"/>
      </w:pPr>
      <w:rPr>
        <w:rFonts w:hint="default"/>
      </w:rPr>
    </w:lvl>
    <w:lvl w:ilvl="1">
      <w:start w:val="1"/>
      <w:numFmt w:val="decimal"/>
      <w:lvlText w:val="%1.%2."/>
      <w:lvlJc w:val="left"/>
      <w:pPr>
        <w:ind w:left="1440" w:hanging="720"/>
      </w:pPr>
      <w:rPr>
        <w:rFonts w:ascii="Arial" w:hAnsi="Arial" w:hint="default"/>
        <w:b w:val="0"/>
        <w:bCs w:val="0"/>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331255C"/>
    <w:multiLevelType w:val="multilevel"/>
    <w:tmpl w:val="FFFFFFFF"/>
    <w:lvl w:ilvl="0">
      <w:start w:val="1"/>
      <w:numFmt w:val="decimal"/>
      <w:pStyle w:val="ListParagraph"/>
      <w:lvlText w:val="%1."/>
      <w:lvlJc w:val="left"/>
      <w:pPr>
        <w:ind w:left="644"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BA5FD8"/>
    <w:multiLevelType w:val="multilevel"/>
    <w:tmpl w:val="43D6D2FA"/>
    <w:numStyleLink w:val="StyleBulletedSymbolsymbolLeft063cmHanging063cm"/>
  </w:abstractNum>
  <w:abstractNum w:abstractNumId="35"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A22831"/>
    <w:multiLevelType w:val="multilevel"/>
    <w:tmpl w:val="43D6D2FA"/>
    <w:numStyleLink w:val="StyleBulletedSymbolsymbolLeft063cmHanging063cm"/>
  </w:abstractNum>
  <w:abstractNum w:abstractNumId="37"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8365C6"/>
    <w:multiLevelType w:val="multilevel"/>
    <w:tmpl w:val="E67CE66C"/>
    <w:numStyleLink w:val="StyleNumberedLeft0cmHanging075cm"/>
  </w:abstractNum>
  <w:num w:numId="1" w16cid:durableId="330448795">
    <w:abstractNumId w:val="32"/>
  </w:num>
  <w:num w:numId="2" w16cid:durableId="147478394">
    <w:abstractNumId w:val="33"/>
  </w:num>
  <w:num w:numId="3" w16cid:durableId="1129739864">
    <w:abstractNumId w:val="38"/>
  </w:num>
  <w:num w:numId="4" w16cid:durableId="689644009">
    <w:abstractNumId w:val="27"/>
  </w:num>
  <w:num w:numId="5" w16cid:durableId="833378816">
    <w:abstractNumId w:val="20"/>
  </w:num>
  <w:num w:numId="6" w16cid:durableId="1556313631">
    <w:abstractNumId w:val="35"/>
  </w:num>
  <w:num w:numId="7" w16cid:durableId="1489859741">
    <w:abstractNumId w:val="39"/>
  </w:num>
  <w:num w:numId="8" w16cid:durableId="1371032414">
    <w:abstractNumId w:val="26"/>
  </w:num>
  <w:num w:numId="9" w16cid:durableId="1580165746">
    <w:abstractNumId w:val="24"/>
  </w:num>
  <w:num w:numId="10" w16cid:durableId="306057268">
    <w:abstractNumId w:val="13"/>
  </w:num>
  <w:num w:numId="11" w16cid:durableId="426079699">
    <w:abstractNumId w:val="16"/>
  </w:num>
  <w:num w:numId="12" w16cid:durableId="1209028866">
    <w:abstractNumId w:val="29"/>
  </w:num>
  <w:num w:numId="13" w16cid:durableId="1140539765">
    <w:abstractNumId w:val="28"/>
  </w:num>
  <w:num w:numId="14" w16cid:durableId="116802593">
    <w:abstractNumId w:val="10"/>
  </w:num>
  <w:num w:numId="15" w16cid:durableId="1286157641">
    <w:abstractNumId w:val="40"/>
  </w:num>
  <w:num w:numId="16" w16cid:durableId="1767076187">
    <w:abstractNumId w:val="17"/>
  </w:num>
  <w:num w:numId="17" w16cid:durableId="695733198">
    <w:abstractNumId w:val="11"/>
  </w:num>
  <w:num w:numId="18" w16cid:durableId="768619768">
    <w:abstractNumId w:val="34"/>
  </w:num>
  <w:num w:numId="19" w16cid:durableId="1285231621">
    <w:abstractNumId w:val="12"/>
  </w:num>
  <w:num w:numId="20" w16cid:durableId="1628966880">
    <w:abstractNumId w:val="36"/>
  </w:num>
  <w:num w:numId="21" w16cid:durableId="251745864">
    <w:abstractNumId w:val="18"/>
  </w:num>
  <w:num w:numId="22" w16cid:durableId="504705985">
    <w:abstractNumId w:val="25"/>
  </w:num>
  <w:num w:numId="23" w16cid:durableId="1051223320">
    <w:abstractNumId w:val="14"/>
  </w:num>
  <w:num w:numId="24" w16cid:durableId="1568104005">
    <w:abstractNumId w:val="37"/>
  </w:num>
  <w:num w:numId="25" w16cid:durableId="1624532074">
    <w:abstractNumId w:val="9"/>
  </w:num>
  <w:num w:numId="26" w16cid:durableId="2121560557">
    <w:abstractNumId w:val="8"/>
  </w:num>
  <w:num w:numId="27" w16cid:durableId="990645853">
    <w:abstractNumId w:val="7"/>
  </w:num>
  <w:num w:numId="28" w16cid:durableId="1112821960">
    <w:abstractNumId w:val="6"/>
  </w:num>
  <w:num w:numId="29" w16cid:durableId="541022296">
    <w:abstractNumId w:val="5"/>
  </w:num>
  <w:num w:numId="30" w16cid:durableId="1446576979">
    <w:abstractNumId w:val="4"/>
  </w:num>
  <w:num w:numId="31" w16cid:durableId="1297219847">
    <w:abstractNumId w:val="3"/>
  </w:num>
  <w:num w:numId="32" w16cid:durableId="1143346920">
    <w:abstractNumId w:val="2"/>
  </w:num>
  <w:num w:numId="33" w16cid:durableId="189532085">
    <w:abstractNumId w:val="1"/>
  </w:num>
  <w:num w:numId="34" w16cid:durableId="1282805404">
    <w:abstractNumId w:val="0"/>
  </w:num>
  <w:num w:numId="35" w16cid:durableId="594049449">
    <w:abstractNumId w:val="31"/>
  </w:num>
  <w:num w:numId="36" w16cid:durableId="1763643683">
    <w:abstractNumId w:val="30"/>
  </w:num>
  <w:num w:numId="37" w16cid:durableId="592470390">
    <w:abstractNumId w:val="23"/>
  </w:num>
  <w:num w:numId="38" w16cid:durableId="2023169531">
    <w:abstractNumId w:val="15"/>
  </w:num>
  <w:num w:numId="39" w16cid:durableId="2061141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00487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33940211">
    <w:abstractNumId w:val="19"/>
  </w:num>
  <w:num w:numId="42" w16cid:durableId="1832137809">
    <w:abstractNumId w:val="22"/>
  </w:num>
  <w:num w:numId="43" w16cid:durableId="66278234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28/07/2023 14:07"/>
  </w:docVars>
  <w:rsids>
    <w:rsidRoot w:val="00FB3B71"/>
    <w:rsid w:val="00007FCF"/>
    <w:rsid w:val="000117D4"/>
    <w:rsid w:val="000151DD"/>
    <w:rsid w:val="00015399"/>
    <w:rsid w:val="000170E0"/>
    <w:rsid w:val="00025FB5"/>
    <w:rsid w:val="00030173"/>
    <w:rsid w:val="000314D7"/>
    <w:rsid w:val="00034054"/>
    <w:rsid w:val="000352B2"/>
    <w:rsid w:val="0003620E"/>
    <w:rsid w:val="00045F8B"/>
    <w:rsid w:val="00046D2B"/>
    <w:rsid w:val="00056263"/>
    <w:rsid w:val="0006381A"/>
    <w:rsid w:val="00064D8A"/>
    <w:rsid w:val="00064F82"/>
    <w:rsid w:val="00066510"/>
    <w:rsid w:val="00066DC1"/>
    <w:rsid w:val="00067F0F"/>
    <w:rsid w:val="00077523"/>
    <w:rsid w:val="000831A3"/>
    <w:rsid w:val="000906B0"/>
    <w:rsid w:val="00097089"/>
    <w:rsid w:val="000A0025"/>
    <w:rsid w:val="000A01E7"/>
    <w:rsid w:val="000A2F34"/>
    <w:rsid w:val="000A3751"/>
    <w:rsid w:val="000B1DFC"/>
    <w:rsid w:val="000B2581"/>
    <w:rsid w:val="000C089F"/>
    <w:rsid w:val="000C252E"/>
    <w:rsid w:val="000C2DA2"/>
    <w:rsid w:val="000C3928"/>
    <w:rsid w:val="000C57B3"/>
    <w:rsid w:val="000C5E8E"/>
    <w:rsid w:val="000D116A"/>
    <w:rsid w:val="000D44D8"/>
    <w:rsid w:val="000D6EF2"/>
    <w:rsid w:val="000E4758"/>
    <w:rsid w:val="000E79ED"/>
    <w:rsid w:val="000F4751"/>
    <w:rsid w:val="00100256"/>
    <w:rsid w:val="00100F29"/>
    <w:rsid w:val="0010253D"/>
    <w:rsid w:val="00102A7D"/>
    <w:rsid w:val="00102AAE"/>
    <w:rsid w:val="0010308A"/>
    <w:rsid w:val="001033F6"/>
    <w:rsid w:val="00104052"/>
    <w:rsid w:val="0010524C"/>
    <w:rsid w:val="00111FB1"/>
    <w:rsid w:val="00113418"/>
    <w:rsid w:val="00114694"/>
    <w:rsid w:val="00120227"/>
    <w:rsid w:val="0013364A"/>
    <w:rsid w:val="001356F1"/>
    <w:rsid w:val="00136994"/>
    <w:rsid w:val="0014128E"/>
    <w:rsid w:val="00145C50"/>
    <w:rsid w:val="00150C2D"/>
    <w:rsid w:val="0015166B"/>
    <w:rsid w:val="00151888"/>
    <w:rsid w:val="00152104"/>
    <w:rsid w:val="00154146"/>
    <w:rsid w:val="0015666C"/>
    <w:rsid w:val="00161FD2"/>
    <w:rsid w:val="00163357"/>
    <w:rsid w:val="001662E2"/>
    <w:rsid w:val="00167C81"/>
    <w:rsid w:val="00170A2D"/>
    <w:rsid w:val="001808BC"/>
    <w:rsid w:val="00182B81"/>
    <w:rsid w:val="0018619D"/>
    <w:rsid w:val="001872D0"/>
    <w:rsid w:val="001912F1"/>
    <w:rsid w:val="001935E3"/>
    <w:rsid w:val="00195F2A"/>
    <w:rsid w:val="00197ECF"/>
    <w:rsid w:val="001A011E"/>
    <w:rsid w:val="001A066A"/>
    <w:rsid w:val="001A13E6"/>
    <w:rsid w:val="001A3BB2"/>
    <w:rsid w:val="001A5731"/>
    <w:rsid w:val="001A70C1"/>
    <w:rsid w:val="001B42C3"/>
    <w:rsid w:val="001B489F"/>
    <w:rsid w:val="001B6E2D"/>
    <w:rsid w:val="001B7281"/>
    <w:rsid w:val="001C1DB8"/>
    <w:rsid w:val="001C328A"/>
    <w:rsid w:val="001C5D5E"/>
    <w:rsid w:val="001D2093"/>
    <w:rsid w:val="001D5072"/>
    <w:rsid w:val="001D50EA"/>
    <w:rsid w:val="001D678D"/>
    <w:rsid w:val="001E03F8"/>
    <w:rsid w:val="001E1678"/>
    <w:rsid w:val="001E3376"/>
    <w:rsid w:val="001E7B20"/>
    <w:rsid w:val="001F5E51"/>
    <w:rsid w:val="001F7717"/>
    <w:rsid w:val="00203784"/>
    <w:rsid w:val="002069B3"/>
    <w:rsid w:val="00207DD8"/>
    <w:rsid w:val="002149C3"/>
    <w:rsid w:val="00217438"/>
    <w:rsid w:val="002242E2"/>
    <w:rsid w:val="00225231"/>
    <w:rsid w:val="002329CF"/>
    <w:rsid w:val="00232F5B"/>
    <w:rsid w:val="00237409"/>
    <w:rsid w:val="00247C29"/>
    <w:rsid w:val="00260467"/>
    <w:rsid w:val="00263620"/>
    <w:rsid w:val="00263EA3"/>
    <w:rsid w:val="00270058"/>
    <w:rsid w:val="00271D43"/>
    <w:rsid w:val="00272EE8"/>
    <w:rsid w:val="00275509"/>
    <w:rsid w:val="002801C5"/>
    <w:rsid w:val="00280A88"/>
    <w:rsid w:val="00281715"/>
    <w:rsid w:val="00284F85"/>
    <w:rsid w:val="00286EFB"/>
    <w:rsid w:val="002870C3"/>
    <w:rsid w:val="00290915"/>
    <w:rsid w:val="0029179B"/>
    <w:rsid w:val="00292A60"/>
    <w:rsid w:val="00293F7D"/>
    <w:rsid w:val="0029462C"/>
    <w:rsid w:val="002A22E2"/>
    <w:rsid w:val="002B6836"/>
    <w:rsid w:val="002C0036"/>
    <w:rsid w:val="002C1EF5"/>
    <w:rsid w:val="002C2832"/>
    <w:rsid w:val="002C64F7"/>
    <w:rsid w:val="002D7C1C"/>
    <w:rsid w:val="002F41F2"/>
    <w:rsid w:val="00301BF3"/>
    <w:rsid w:val="0030208D"/>
    <w:rsid w:val="00310A95"/>
    <w:rsid w:val="00312C10"/>
    <w:rsid w:val="00315DBE"/>
    <w:rsid w:val="00322435"/>
    <w:rsid w:val="003226EB"/>
    <w:rsid w:val="00323418"/>
    <w:rsid w:val="003315E2"/>
    <w:rsid w:val="0033440B"/>
    <w:rsid w:val="003357BF"/>
    <w:rsid w:val="0034328C"/>
    <w:rsid w:val="00351966"/>
    <w:rsid w:val="00356DCC"/>
    <w:rsid w:val="00357B3F"/>
    <w:rsid w:val="00361420"/>
    <w:rsid w:val="00362364"/>
    <w:rsid w:val="00364FAD"/>
    <w:rsid w:val="0036738F"/>
    <w:rsid w:val="0036759C"/>
    <w:rsid w:val="00367AE5"/>
    <w:rsid w:val="00367D71"/>
    <w:rsid w:val="0038150A"/>
    <w:rsid w:val="00387207"/>
    <w:rsid w:val="00392882"/>
    <w:rsid w:val="00393F75"/>
    <w:rsid w:val="003A3C7E"/>
    <w:rsid w:val="003A73F1"/>
    <w:rsid w:val="003B6E75"/>
    <w:rsid w:val="003B7DA1"/>
    <w:rsid w:val="003D0379"/>
    <w:rsid w:val="003D065E"/>
    <w:rsid w:val="003D1498"/>
    <w:rsid w:val="003D2574"/>
    <w:rsid w:val="003D4C59"/>
    <w:rsid w:val="003E6411"/>
    <w:rsid w:val="003E7D2E"/>
    <w:rsid w:val="003F4267"/>
    <w:rsid w:val="003F520A"/>
    <w:rsid w:val="003F58D6"/>
    <w:rsid w:val="00401B55"/>
    <w:rsid w:val="00404032"/>
    <w:rsid w:val="0040736F"/>
    <w:rsid w:val="00407FCA"/>
    <w:rsid w:val="00412C1F"/>
    <w:rsid w:val="00413ADE"/>
    <w:rsid w:val="0041611D"/>
    <w:rsid w:val="00416663"/>
    <w:rsid w:val="00421CB2"/>
    <w:rsid w:val="004268B9"/>
    <w:rsid w:val="004323C5"/>
    <w:rsid w:val="00433B96"/>
    <w:rsid w:val="004357C9"/>
    <w:rsid w:val="004433C1"/>
    <w:rsid w:val="004440F1"/>
    <w:rsid w:val="004450DF"/>
    <w:rsid w:val="004456DD"/>
    <w:rsid w:val="00446CDF"/>
    <w:rsid w:val="004521B7"/>
    <w:rsid w:val="004548E0"/>
    <w:rsid w:val="00455E52"/>
    <w:rsid w:val="00462AB5"/>
    <w:rsid w:val="004633C0"/>
    <w:rsid w:val="00465EAF"/>
    <w:rsid w:val="004738C5"/>
    <w:rsid w:val="00474B35"/>
    <w:rsid w:val="00475629"/>
    <w:rsid w:val="004760F3"/>
    <w:rsid w:val="004767A1"/>
    <w:rsid w:val="0047737B"/>
    <w:rsid w:val="004835C7"/>
    <w:rsid w:val="00484B50"/>
    <w:rsid w:val="0048774F"/>
    <w:rsid w:val="00491046"/>
    <w:rsid w:val="00496078"/>
    <w:rsid w:val="004A2AC7"/>
    <w:rsid w:val="004A611E"/>
    <w:rsid w:val="004A6D2F"/>
    <w:rsid w:val="004B11AE"/>
    <w:rsid w:val="004B62E0"/>
    <w:rsid w:val="004C2887"/>
    <w:rsid w:val="004C7067"/>
    <w:rsid w:val="004D2626"/>
    <w:rsid w:val="004D6CC8"/>
    <w:rsid w:val="004D6E26"/>
    <w:rsid w:val="004D77D3"/>
    <w:rsid w:val="004E0B67"/>
    <w:rsid w:val="004E2959"/>
    <w:rsid w:val="004E2EF2"/>
    <w:rsid w:val="004E32B3"/>
    <w:rsid w:val="004E7649"/>
    <w:rsid w:val="004E76A3"/>
    <w:rsid w:val="004F20EF"/>
    <w:rsid w:val="004F3655"/>
    <w:rsid w:val="004F4F63"/>
    <w:rsid w:val="004F5AC8"/>
    <w:rsid w:val="004F6A33"/>
    <w:rsid w:val="00500307"/>
    <w:rsid w:val="0050321C"/>
    <w:rsid w:val="00507ECC"/>
    <w:rsid w:val="00514FFC"/>
    <w:rsid w:val="005164D0"/>
    <w:rsid w:val="00517CD9"/>
    <w:rsid w:val="00522DEC"/>
    <w:rsid w:val="00526CC0"/>
    <w:rsid w:val="00533E4D"/>
    <w:rsid w:val="00540EB7"/>
    <w:rsid w:val="0054665A"/>
    <w:rsid w:val="0054712D"/>
    <w:rsid w:val="00547EF6"/>
    <w:rsid w:val="00555CEA"/>
    <w:rsid w:val="005570B5"/>
    <w:rsid w:val="00560D05"/>
    <w:rsid w:val="00564A5B"/>
    <w:rsid w:val="005675B0"/>
    <w:rsid w:val="00567E18"/>
    <w:rsid w:val="0057150E"/>
    <w:rsid w:val="00575730"/>
    <w:rsid w:val="00575F5F"/>
    <w:rsid w:val="00581805"/>
    <w:rsid w:val="00585F76"/>
    <w:rsid w:val="00587708"/>
    <w:rsid w:val="00595C29"/>
    <w:rsid w:val="005970C6"/>
    <w:rsid w:val="005A34E4"/>
    <w:rsid w:val="005A6610"/>
    <w:rsid w:val="005A6BD4"/>
    <w:rsid w:val="005B0954"/>
    <w:rsid w:val="005B17F2"/>
    <w:rsid w:val="005B3F4D"/>
    <w:rsid w:val="005B793A"/>
    <w:rsid w:val="005B7FB0"/>
    <w:rsid w:val="005C35A5"/>
    <w:rsid w:val="005C37B5"/>
    <w:rsid w:val="005C577C"/>
    <w:rsid w:val="005C6123"/>
    <w:rsid w:val="005D0621"/>
    <w:rsid w:val="005D1E27"/>
    <w:rsid w:val="005D2A3E"/>
    <w:rsid w:val="005D4E8E"/>
    <w:rsid w:val="005D6343"/>
    <w:rsid w:val="005E022E"/>
    <w:rsid w:val="005E310F"/>
    <w:rsid w:val="005E5215"/>
    <w:rsid w:val="005E5623"/>
    <w:rsid w:val="005F29AF"/>
    <w:rsid w:val="005F526C"/>
    <w:rsid w:val="005F749E"/>
    <w:rsid w:val="005F7F7E"/>
    <w:rsid w:val="00600E7C"/>
    <w:rsid w:val="00603962"/>
    <w:rsid w:val="00607A76"/>
    <w:rsid w:val="00613AC1"/>
    <w:rsid w:val="00614693"/>
    <w:rsid w:val="00620B4D"/>
    <w:rsid w:val="00623B8D"/>
    <w:rsid w:val="00623C2F"/>
    <w:rsid w:val="006260A6"/>
    <w:rsid w:val="006266A6"/>
    <w:rsid w:val="00630B5A"/>
    <w:rsid w:val="00631500"/>
    <w:rsid w:val="00633578"/>
    <w:rsid w:val="00634880"/>
    <w:rsid w:val="00635A3C"/>
    <w:rsid w:val="00637068"/>
    <w:rsid w:val="006432E2"/>
    <w:rsid w:val="00650811"/>
    <w:rsid w:val="00653634"/>
    <w:rsid w:val="0065407D"/>
    <w:rsid w:val="0066082B"/>
    <w:rsid w:val="00661D3E"/>
    <w:rsid w:val="006630FF"/>
    <w:rsid w:val="00672214"/>
    <w:rsid w:val="00681D29"/>
    <w:rsid w:val="00685999"/>
    <w:rsid w:val="00691458"/>
    <w:rsid w:val="00691827"/>
    <w:rsid w:val="00692627"/>
    <w:rsid w:val="00694E64"/>
    <w:rsid w:val="006969E7"/>
    <w:rsid w:val="006977D4"/>
    <w:rsid w:val="006A3643"/>
    <w:rsid w:val="006A620C"/>
    <w:rsid w:val="006B10C2"/>
    <w:rsid w:val="006B3727"/>
    <w:rsid w:val="006C1C1E"/>
    <w:rsid w:val="006C2A29"/>
    <w:rsid w:val="006C64CF"/>
    <w:rsid w:val="006D0041"/>
    <w:rsid w:val="006D1228"/>
    <w:rsid w:val="006D17B1"/>
    <w:rsid w:val="006D220C"/>
    <w:rsid w:val="006D2401"/>
    <w:rsid w:val="006D2858"/>
    <w:rsid w:val="006D2D1E"/>
    <w:rsid w:val="006D4752"/>
    <w:rsid w:val="006D708A"/>
    <w:rsid w:val="006E0C3A"/>
    <w:rsid w:val="006E14C1"/>
    <w:rsid w:val="006E502C"/>
    <w:rsid w:val="006F0292"/>
    <w:rsid w:val="006F1DC4"/>
    <w:rsid w:val="006F27FA"/>
    <w:rsid w:val="006F416B"/>
    <w:rsid w:val="006F519B"/>
    <w:rsid w:val="00700184"/>
    <w:rsid w:val="007032D0"/>
    <w:rsid w:val="007043F7"/>
    <w:rsid w:val="00713675"/>
    <w:rsid w:val="007153AE"/>
    <w:rsid w:val="00715823"/>
    <w:rsid w:val="007239E9"/>
    <w:rsid w:val="007253EF"/>
    <w:rsid w:val="0073626E"/>
    <w:rsid w:val="0073635B"/>
    <w:rsid w:val="00737B93"/>
    <w:rsid w:val="00740504"/>
    <w:rsid w:val="007433AC"/>
    <w:rsid w:val="00744561"/>
    <w:rsid w:val="00745BF0"/>
    <w:rsid w:val="00751EA3"/>
    <w:rsid w:val="007615FE"/>
    <w:rsid w:val="00763E26"/>
    <w:rsid w:val="00765616"/>
    <w:rsid w:val="0076655C"/>
    <w:rsid w:val="007742DC"/>
    <w:rsid w:val="00780AF1"/>
    <w:rsid w:val="00781BDE"/>
    <w:rsid w:val="00782320"/>
    <w:rsid w:val="00791437"/>
    <w:rsid w:val="00797B49"/>
    <w:rsid w:val="00797E70"/>
    <w:rsid w:val="007A0C8D"/>
    <w:rsid w:val="007A78C0"/>
    <w:rsid w:val="007B05D5"/>
    <w:rsid w:val="007B0C2C"/>
    <w:rsid w:val="007B278E"/>
    <w:rsid w:val="007B46E2"/>
    <w:rsid w:val="007B5CA2"/>
    <w:rsid w:val="007B76A6"/>
    <w:rsid w:val="007C5C23"/>
    <w:rsid w:val="007E17E1"/>
    <w:rsid w:val="007E1943"/>
    <w:rsid w:val="007E2A26"/>
    <w:rsid w:val="007E6D7B"/>
    <w:rsid w:val="007E7069"/>
    <w:rsid w:val="007F0273"/>
    <w:rsid w:val="007F2348"/>
    <w:rsid w:val="007F34CB"/>
    <w:rsid w:val="007F4757"/>
    <w:rsid w:val="007F478A"/>
    <w:rsid w:val="007F7CE6"/>
    <w:rsid w:val="0080160A"/>
    <w:rsid w:val="00803F07"/>
    <w:rsid w:val="008073F9"/>
    <w:rsid w:val="0080749A"/>
    <w:rsid w:val="008161AF"/>
    <w:rsid w:val="008164F7"/>
    <w:rsid w:val="00821FB8"/>
    <w:rsid w:val="00822ACD"/>
    <w:rsid w:val="00831997"/>
    <w:rsid w:val="0084356A"/>
    <w:rsid w:val="00844115"/>
    <w:rsid w:val="00855C66"/>
    <w:rsid w:val="00857D84"/>
    <w:rsid w:val="0086167F"/>
    <w:rsid w:val="00866521"/>
    <w:rsid w:val="00871EE4"/>
    <w:rsid w:val="0087464F"/>
    <w:rsid w:val="00880381"/>
    <w:rsid w:val="008810F1"/>
    <w:rsid w:val="0088296D"/>
    <w:rsid w:val="00890C53"/>
    <w:rsid w:val="00890D3F"/>
    <w:rsid w:val="00894B49"/>
    <w:rsid w:val="008954DF"/>
    <w:rsid w:val="008A25E4"/>
    <w:rsid w:val="008B11FD"/>
    <w:rsid w:val="008B293F"/>
    <w:rsid w:val="008B41FF"/>
    <w:rsid w:val="008B598E"/>
    <w:rsid w:val="008B7371"/>
    <w:rsid w:val="008B7438"/>
    <w:rsid w:val="008C54BD"/>
    <w:rsid w:val="008D0732"/>
    <w:rsid w:val="008D3DDB"/>
    <w:rsid w:val="008D416C"/>
    <w:rsid w:val="008D6A40"/>
    <w:rsid w:val="008E319F"/>
    <w:rsid w:val="008E368E"/>
    <w:rsid w:val="008E6537"/>
    <w:rsid w:val="008F39EA"/>
    <w:rsid w:val="008F3B04"/>
    <w:rsid w:val="008F573F"/>
    <w:rsid w:val="008F7055"/>
    <w:rsid w:val="009002A4"/>
    <w:rsid w:val="0090240D"/>
    <w:rsid w:val="009027BF"/>
    <w:rsid w:val="009034EC"/>
    <w:rsid w:val="00906B05"/>
    <w:rsid w:val="00914B0C"/>
    <w:rsid w:val="0092596E"/>
    <w:rsid w:val="0093067A"/>
    <w:rsid w:val="00941C60"/>
    <w:rsid w:val="00941FD1"/>
    <w:rsid w:val="00942BF3"/>
    <w:rsid w:val="00943CF5"/>
    <w:rsid w:val="00945F7C"/>
    <w:rsid w:val="00950824"/>
    <w:rsid w:val="00964796"/>
    <w:rsid w:val="0096634F"/>
    <w:rsid w:val="00966D42"/>
    <w:rsid w:val="00971689"/>
    <w:rsid w:val="0097170F"/>
    <w:rsid w:val="00973E90"/>
    <w:rsid w:val="00975B07"/>
    <w:rsid w:val="00980B4A"/>
    <w:rsid w:val="00984AED"/>
    <w:rsid w:val="00990F64"/>
    <w:rsid w:val="00997AA3"/>
    <w:rsid w:val="009A4583"/>
    <w:rsid w:val="009A4AA2"/>
    <w:rsid w:val="009B3E8A"/>
    <w:rsid w:val="009C0C5B"/>
    <w:rsid w:val="009D13B1"/>
    <w:rsid w:val="009D158C"/>
    <w:rsid w:val="009D2E5F"/>
    <w:rsid w:val="009D658D"/>
    <w:rsid w:val="009E10AF"/>
    <w:rsid w:val="009E3D0A"/>
    <w:rsid w:val="009E4439"/>
    <w:rsid w:val="009E51FC"/>
    <w:rsid w:val="009E5F80"/>
    <w:rsid w:val="009F0C7B"/>
    <w:rsid w:val="009F1D28"/>
    <w:rsid w:val="009F7115"/>
    <w:rsid w:val="009F7618"/>
    <w:rsid w:val="00A01989"/>
    <w:rsid w:val="00A049A6"/>
    <w:rsid w:val="00A04D23"/>
    <w:rsid w:val="00A0517A"/>
    <w:rsid w:val="00A06766"/>
    <w:rsid w:val="00A13765"/>
    <w:rsid w:val="00A164D0"/>
    <w:rsid w:val="00A204DD"/>
    <w:rsid w:val="00A21B12"/>
    <w:rsid w:val="00A23F80"/>
    <w:rsid w:val="00A24601"/>
    <w:rsid w:val="00A24C3F"/>
    <w:rsid w:val="00A2773D"/>
    <w:rsid w:val="00A34E44"/>
    <w:rsid w:val="00A46E98"/>
    <w:rsid w:val="00A518EF"/>
    <w:rsid w:val="00A55554"/>
    <w:rsid w:val="00A56915"/>
    <w:rsid w:val="00A612E7"/>
    <w:rsid w:val="00A6352B"/>
    <w:rsid w:val="00A63DF4"/>
    <w:rsid w:val="00A701B5"/>
    <w:rsid w:val="00A71305"/>
    <w:rsid w:val="00A714BB"/>
    <w:rsid w:val="00A77147"/>
    <w:rsid w:val="00A811D2"/>
    <w:rsid w:val="00A82B7D"/>
    <w:rsid w:val="00A84184"/>
    <w:rsid w:val="00A921AF"/>
    <w:rsid w:val="00A92D8F"/>
    <w:rsid w:val="00A93C1A"/>
    <w:rsid w:val="00A9634D"/>
    <w:rsid w:val="00A9799B"/>
    <w:rsid w:val="00AA19B5"/>
    <w:rsid w:val="00AA2A00"/>
    <w:rsid w:val="00AA2BAA"/>
    <w:rsid w:val="00AA7800"/>
    <w:rsid w:val="00AB2956"/>
    <w:rsid w:val="00AB2988"/>
    <w:rsid w:val="00AB5173"/>
    <w:rsid w:val="00AB742E"/>
    <w:rsid w:val="00AB7999"/>
    <w:rsid w:val="00AC10F3"/>
    <w:rsid w:val="00AC5760"/>
    <w:rsid w:val="00AC6D84"/>
    <w:rsid w:val="00AD3292"/>
    <w:rsid w:val="00AE1684"/>
    <w:rsid w:val="00AE7AF0"/>
    <w:rsid w:val="00AF1AFF"/>
    <w:rsid w:val="00B07618"/>
    <w:rsid w:val="00B10FD3"/>
    <w:rsid w:val="00B2649D"/>
    <w:rsid w:val="00B3FB34"/>
    <w:rsid w:val="00B454CC"/>
    <w:rsid w:val="00B4699E"/>
    <w:rsid w:val="00B478F8"/>
    <w:rsid w:val="00B500CA"/>
    <w:rsid w:val="00B53145"/>
    <w:rsid w:val="00B55C07"/>
    <w:rsid w:val="00B81DD6"/>
    <w:rsid w:val="00B86314"/>
    <w:rsid w:val="00BA1C2E"/>
    <w:rsid w:val="00BA22E2"/>
    <w:rsid w:val="00BA2619"/>
    <w:rsid w:val="00BA381E"/>
    <w:rsid w:val="00BB04BE"/>
    <w:rsid w:val="00BB5932"/>
    <w:rsid w:val="00BB762B"/>
    <w:rsid w:val="00BC1F0B"/>
    <w:rsid w:val="00BC200B"/>
    <w:rsid w:val="00BC2894"/>
    <w:rsid w:val="00BC4756"/>
    <w:rsid w:val="00BC5C6A"/>
    <w:rsid w:val="00BC6262"/>
    <w:rsid w:val="00BC69A4"/>
    <w:rsid w:val="00BE0680"/>
    <w:rsid w:val="00BE305F"/>
    <w:rsid w:val="00BE48E2"/>
    <w:rsid w:val="00BE7BA3"/>
    <w:rsid w:val="00BF2366"/>
    <w:rsid w:val="00BF5682"/>
    <w:rsid w:val="00BF6D58"/>
    <w:rsid w:val="00BF7B09"/>
    <w:rsid w:val="00C00820"/>
    <w:rsid w:val="00C04379"/>
    <w:rsid w:val="00C05260"/>
    <w:rsid w:val="00C076B9"/>
    <w:rsid w:val="00C102A4"/>
    <w:rsid w:val="00C13376"/>
    <w:rsid w:val="00C14C3B"/>
    <w:rsid w:val="00C20A95"/>
    <w:rsid w:val="00C21841"/>
    <w:rsid w:val="00C2692F"/>
    <w:rsid w:val="00C3207C"/>
    <w:rsid w:val="00C323F7"/>
    <w:rsid w:val="00C400E1"/>
    <w:rsid w:val="00C41187"/>
    <w:rsid w:val="00C44FE9"/>
    <w:rsid w:val="00C47B9A"/>
    <w:rsid w:val="00C506B4"/>
    <w:rsid w:val="00C5154C"/>
    <w:rsid w:val="00C5273B"/>
    <w:rsid w:val="00C62F10"/>
    <w:rsid w:val="00C63C31"/>
    <w:rsid w:val="00C709A0"/>
    <w:rsid w:val="00C71441"/>
    <w:rsid w:val="00C72D9C"/>
    <w:rsid w:val="00C757A0"/>
    <w:rsid w:val="00C760DE"/>
    <w:rsid w:val="00C76E27"/>
    <w:rsid w:val="00C82630"/>
    <w:rsid w:val="00C85B4E"/>
    <w:rsid w:val="00C907F7"/>
    <w:rsid w:val="00C92D22"/>
    <w:rsid w:val="00CA2103"/>
    <w:rsid w:val="00CA2203"/>
    <w:rsid w:val="00CA5A22"/>
    <w:rsid w:val="00CA711C"/>
    <w:rsid w:val="00CB11EA"/>
    <w:rsid w:val="00CB21E8"/>
    <w:rsid w:val="00CB6B99"/>
    <w:rsid w:val="00CC7BF2"/>
    <w:rsid w:val="00CD0FCF"/>
    <w:rsid w:val="00CD45DC"/>
    <w:rsid w:val="00CE1EBE"/>
    <w:rsid w:val="00CE4C87"/>
    <w:rsid w:val="00CE544A"/>
    <w:rsid w:val="00CE670C"/>
    <w:rsid w:val="00CF44B5"/>
    <w:rsid w:val="00CF76F2"/>
    <w:rsid w:val="00D0435C"/>
    <w:rsid w:val="00D06631"/>
    <w:rsid w:val="00D11687"/>
    <w:rsid w:val="00D119BA"/>
    <w:rsid w:val="00D11E1C"/>
    <w:rsid w:val="00D160B0"/>
    <w:rsid w:val="00D17F94"/>
    <w:rsid w:val="00D20AE0"/>
    <w:rsid w:val="00D223FC"/>
    <w:rsid w:val="00D2602D"/>
    <w:rsid w:val="00D26D1E"/>
    <w:rsid w:val="00D30318"/>
    <w:rsid w:val="00D474CF"/>
    <w:rsid w:val="00D54404"/>
    <w:rsid w:val="00D5547E"/>
    <w:rsid w:val="00D56239"/>
    <w:rsid w:val="00D62499"/>
    <w:rsid w:val="00D62F25"/>
    <w:rsid w:val="00D6556B"/>
    <w:rsid w:val="00D73AFC"/>
    <w:rsid w:val="00D83D2A"/>
    <w:rsid w:val="00D84D83"/>
    <w:rsid w:val="00D860E2"/>
    <w:rsid w:val="00D866C5"/>
    <w:rsid w:val="00D869A1"/>
    <w:rsid w:val="00D937CC"/>
    <w:rsid w:val="00DA1AD3"/>
    <w:rsid w:val="00DA3E7F"/>
    <w:rsid w:val="00DA413F"/>
    <w:rsid w:val="00DA4584"/>
    <w:rsid w:val="00DA4CEB"/>
    <w:rsid w:val="00DA614B"/>
    <w:rsid w:val="00DB18B2"/>
    <w:rsid w:val="00DB2BEB"/>
    <w:rsid w:val="00DB3C83"/>
    <w:rsid w:val="00DB7AD7"/>
    <w:rsid w:val="00DC3060"/>
    <w:rsid w:val="00DC4473"/>
    <w:rsid w:val="00DE0FB2"/>
    <w:rsid w:val="00DE6621"/>
    <w:rsid w:val="00DE7502"/>
    <w:rsid w:val="00DF093E"/>
    <w:rsid w:val="00DF35FB"/>
    <w:rsid w:val="00E01F42"/>
    <w:rsid w:val="00E206D6"/>
    <w:rsid w:val="00E32E77"/>
    <w:rsid w:val="00E3366E"/>
    <w:rsid w:val="00E37293"/>
    <w:rsid w:val="00E47230"/>
    <w:rsid w:val="00E52086"/>
    <w:rsid w:val="00E543A6"/>
    <w:rsid w:val="00E56E0A"/>
    <w:rsid w:val="00E60479"/>
    <w:rsid w:val="00E61D73"/>
    <w:rsid w:val="00E73684"/>
    <w:rsid w:val="00E818D6"/>
    <w:rsid w:val="00E85A10"/>
    <w:rsid w:val="00E87F7A"/>
    <w:rsid w:val="00E90C79"/>
    <w:rsid w:val="00E912C9"/>
    <w:rsid w:val="00E94B3E"/>
    <w:rsid w:val="00E96BD7"/>
    <w:rsid w:val="00E97FA1"/>
    <w:rsid w:val="00EA0DB1"/>
    <w:rsid w:val="00EA0EE9"/>
    <w:rsid w:val="00EA37F3"/>
    <w:rsid w:val="00EA46B5"/>
    <w:rsid w:val="00EB74F7"/>
    <w:rsid w:val="00EB77FB"/>
    <w:rsid w:val="00ED04E8"/>
    <w:rsid w:val="00ED52CA"/>
    <w:rsid w:val="00ED5860"/>
    <w:rsid w:val="00ED712E"/>
    <w:rsid w:val="00EE35C9"/>
    <w:rsid w:val="00F01BB0"/>
    <w:rsid w:val="00F05ECA"/>
    <w:rsid w:val="00F10C2B"/>
    <w:rsid w:val="00F152B8"/>
    <w:rsid w:val="00F17416"/>
    <w:rsid w:val="00F2212D"/>
    <w:rsid w:val="00F22FD0"/>
    <w:rsid w:val="00F26E21"/>
    <w:rsid w:val="00F3566E"/>
    <w:rsid w:val="00F35926"/>
    <w:rsid w:val="00F36BFD"/>
    <w:rsid w:val="00F375FB"/>
    <w:rsid w:val="00F41AC1"/>
    <w:rsid w:val="00F4367A"/>
    <w:rsid w:val="00F445B1"/>
    <w:rsid w:val="00F45CD4"/>
    <w:rsid w:val="00F601A8"/>
    <w:rsid w:val="00F66DCA"/>
    <w:rsid w:val="00F66EF9"/>
    <w:rsid w:val="00F736E7"/>
    <w:rsid w:val="00F74F53"/>
    <w:rsid w:val="00F7606D"/>
    <w:rsid w:val="00F775A5"/>
    <w:rsid w:val="00F81670"/>
    <w:rsid w:val="00F82024"/>
    <w:rsid w:val="00F82A64"/>
    <w:rsid w:val="00F8363F"/>
    <w:rsid w:val="00F865A3"/>
    <w:rsid w:val="00F865FA"/>
    <w:rsid w:val="00F9270E"/>
    <w:rsid w:val="00F95BC9"/>
    <w:rsid w:val="00FA624C"/>
    <w:rsid w:val="00FB034B"/>
    <w:rsid w:val="00FB3B71"/>
    <w:rsid w:val="00FB4E86"/>
    <w:rsid w:val="00FB64F4"/>
    <w:rsid w:val="00FD0D6C"/>
    <w:rsid w:val="00FD0FAC"/>
    <w:rsid w:val="00FD1DFA"/>
    <w:rsid w:val="00FD1FA6"/>
    <w:rsid w:val="00FD4966"/>
    <w:rsid w:val="00FE0202"/>
    <w:rsid w:val="00FE57DC"/>
    <w:rsid w:val="00FE5BE7"/>
    <w:rsid w:val="00FF095A"/>
    <w:rsid w:val="00FF5BFF"/>
    <w:rsid w:val="00FF5CBA"/>
    <w:rsid w:val="017823C5"/>
    <w:rsid w:val="02088E40"/>
    <w:rsid w:val="02251446"/>
    <w:rsid w:val="02A7CD88"/>
    <w:rsid w:val="0370B252"/>
    <w:rsid w:val="03E92400"/>
    <w:rsid w:val="0500E2E1"/>
    <w:rsid w:val="0594F7B8"/>
    <w:rsid w:val="06A38197"/>
    <w:rsid w:val="06A79444"/>
    <w:rsid w:val="075315AA"/>
    <w:rsid w:val="08215EAA"/>
    <w:rsid w:val="086243F0"/>
    <w:rsid w:val="0A7D457A"/>
    <w:rsid w:val="0CAE6887"/>
    <w:rsid w:val="0CCBFCC3"/>
    <w:rsid w:val="0CF99A5B"/>
    <w:rsid w:val="0D02F3A5"/>
    <w:rsid w:val="0DB696ED"/>
    <w:rsid w:val="0E087950"/>
    <w:rsid w:val="0E0D77CD"/>
    <w:rsid w:val="0E9956BB"/>
    <w:rsid w:val="0EE416C0"/>
    <w:rsid w:val="0F8D2D70"/>
    <w:rsid w:val="0FD88A9B"/>
    <w:rsid w:val="10175B79"/>
    <w:rsid w:val="1050A999"/>
    <w:rsid w:val="115727E8"/>
    <w:rsid w:val="122E0FD1"/>
    <w:rsid w:val="1285D2E4"/>
    <w:rsid w:val="12AE3BF5"/>
    <w:rsid w:val="12B7290F"/>
    <w:rsid w:val="135204FD"/>
    <w:rsid w:val="13A26CC8"/>
    <w:rsid w:val="144611B6"/>
    <w:rsid w:val="15007AF5"/>
    <w:rsid w:val="15C5AC5A"/>
    <w:rsid w:val="15CE7FF5"/>
    <w:rsid w:val="15D4495D"/>
    <w:rsid w:val="15EA612B"/>
    <w:rsid w:val="172DBF8A"/>
    <w:rsid w:val="175806BC"/>
    <w:rsid w:val="17DE5E18"/>
    <w:rsid w:val="18B4B97C"/>
    <w:rsid w:val="196CF82A"/>
    <w:rsid w:val="19FE9990"/>
    <w:rsid w:val="1A886009"/>
    <w:rsid w:val="1B09826C"/>
    <w:rsid w:val="1B4AC038"/>
    <w:rsid w:val="1B6D84C3"/>
    <w:rsid w:val="1D3EF333"/>
    <w:rsid w:val="1DCB8733"/>
    <w:rsid w:val="1E5B8FC0"/>
    <w:rsid w:val="1E615211"/>
    <w:rsid w:val="1E6F136D"/>
    <w:rsid w:val="1EF99E7F"/>
    <w:rsid w:val="1F026796"/>
    <w:rsid w:val="1F9A8874"/>
    <w:rsid w:val="1FC96635"/>
    <w:rsid w:val="20574185"/>
    <w:rsid w:val="21B81678"/>
    <w:rsid w:val="21DDD25D"/>
    <w:rsid w:val="222D32AC"/>
    <w:rsid w:val="2342A151"/>
    <w:rsid w:val="23B0D4E8"/>
    <w:rsid w:val="24C726C4"/>
    <w:rsid w:val="25AEC096"/>
    <w:rsid w:val="25F0A012"/>
    <w:rsid w:val="26894756"/>
    <w:rsid w:val="2796ACC0"/>
    <w:rsid w:val="27A22CC3"/>
    <w:rsid w:val="2823948D"/>
    <w:rsid w:val="2857D8AF"/>
    <w:rsid w:val="28CAB9B3"/>
    <w:rsid w:val="28EFD045"/>
    <w:rsid w:val="2943D873"/>
    <w:rsid w:val="295DAF3E"/>
    <w:rsid w:val="29E095B4"/>
    <w:rsid w:val="2A7FDFFA"/>
    <w:rsid w:val="2AE1251C"/>
    <w:rsid w:val="2C54E2B5"/>
    <w:rsid w:val="2C715007"/>
    <w:rsid w:val="2CCE9F4D"/>
    <w:rsid w:val="2D3B7CE3"/>
    <w:rsid w:val="2D98268A"/>
    <w:rsid w:val="2DB0D84C"/>
    <w:rsid w:val="2DC6C08D"/>
    <w:rsid w:val="2E8E3C34"/>
    <w:rsid w:val="2EE72963"/>
    <w:rsid w:val="2F822526"/>
    <w:rsid w:val="308D66D3"/>
    <w:rsid w:val="30BE7E97"/>
    <w:rsid w:val="31481BC9"/>
    <w:rsid w:val="317BBB37"/>
    <w:rsid w:val="31B14D6A"/>
    <w:rsid w:val="32028C26"/>
    <w:rsid w:val="332F3E23"/>
    <w:rsid w:val="3364BCDF"/>
    <w:rsid w:val="33806498"/>
    <w:rsid w:val="3385BF11"/>
    <w:rsid w:val="33C0AC28"/>
    <w:rsid w:val="3434BC9B"/>
    <w:rsid w:val="3451CB1E"/>
    <w:rsid w:val="3479DA23"/>
    <w:rsid w:val="34EFA731"/>
    <w:rsid w:val="35385CDF"/>
    <w:rsid w:val="354C3E59"/>
    <w:rsid w:val="356F3B4E"/>
    <w:rsid w:val="3703C17A"/>
    <w:rsid w:val="37344052"/>
    <w:rsid w:val="3750FB51"/>
    <w:rsid w:val="3751969E"/>
    <w:rsid w:val="37ADE403"/>
    <w:rsid w:val="386B9064"/>
    <w:rsid w:val="38E9F36B"/>
    <w:rsid w:val="3959CF82"/>
    <w:rsid w:val="3A4585C6"/>
    <w:rsid w:val="3B0FFBFF"/>
    <w:rsid w:val="3B386DA9"/>
    <w:rsid w:val="3B5864C4"/>
    <w:rsid w:val="3B9E2461"/>
    <w:rsid w:val="3C3118B2"/>
    <w:rsid w:val="3C3C4C46"/>
    <w:rsid w:val="3D023217"/>
    <w:rsid w:val="3D9290ED"/>
    <w:rsid w:val="3DB66159"/>
    <w:rsid w:val="3E068F37"/>
    <w:rsid w:val="3E26C9C9"/>
    <w:rsid w:val="3E680230"/>
    <w:rsid w:val="3E6E4FC1"/>
    <w:rsid w:val="3EBCE068"/>
    <w:rsid w:val="3F8B5607"/>
    <w:rsid w:val="3F9751C2"/>
    <w:rsid w:val="3FBB3B1C"/>
    <w:rsid w:val="40246CBE"/>
    <w:rsid w:val="40496AD1"/>
    <w:rsid w:val="40926A3C"/>
    <w:rsid w:val="40AA70D1"/>
    <w:rsid w:val="40C907DD"/>
    <w:rsid w:val="41A8B780"/>
    <w:rsid w:val="422338EA"/>
    <w:rsid w:val="42EACE43"/>
    <w:rsid w:val="42EFBB8E"/>
    <w:rsid w:val="430F2D52"/>
    <w:rsid w:val="436CC5CF"/>
    <w:rsid w:val="44B48454"/>
    <w:rsid w:val="44C704BC"/>
    <w:rsid w:val="451AC8D9"/>
    <w:rsid w:val="458F4C73"/>
    <w:rsid w:val="45D7942F"/>
    <w:rsid w:val="46CF288B"/>
    <w:rsid w:val="48559042"/>
    <w:rsid w:val="49E1F6E8"/>
    <w:rsid w:val="49E516DB"/>
    <w:rsid w:val="4A7F5F92"/>
    <w:rsid w:val="4A9A68A5"/>
    <w:rsid w:val="4B9D9D76"/>
    <w:rsid w:val="4BCC3D68"/>
    <w:rsid w:val="4BD2E0E5"/>
    <w:rsid w:val="4BE0D4B2"/>
    <w:rsid w:val="4C115CF5"/>
    <w:rsid w:val="4CCED6A5"/>
    <w:rsid w:val="4D06C428"/>
    <w:rsid w:val="4DB58F25"/>
    <w:rsid w:val="4DC99BAD"/>
    <w:rsid w:val="4F19BEDE"/>
    <w:rsid w:val="4F6111C3"/>
    <w:rsid w:val="4FDBEAC6"/>
    <w:rsid w:val="5027EBA0"/>
    <w:rsid w:val="506CD5B7"/>
    <w:rsid w:val="50ABAD4B"/>
    <w:rsid w:val="5171906F"/>
    <w:rsid w:val="51999380"/>
    <w:rsid w:val="519A296E"/>
    <w:rsid w:val="52087DA0"/>
    <w:rsid w:val="525E57F5"/>
    <w:rsid w:val="52ABC85D"/>
    <w:rsid w:val="537A21FC"/>
    <w:rsid w:val="537C2B3E"/>
    <w:rsid w:val="53C4CA6D"/>
    <w:rsid w:val="54875FE4"/>
    <w:rsid w:val="54A18429"/>
    <w:rsid w:val="54ADD4DE"/>
    <w:rsid w:val="54F12583"/>
    <w:rsid w:val="55609ACE"/>
    <w:rsid w:val="55634980"/>
    <w:rsid w:val="564C703B"/>
    <w:rsid w:val="567FC6BD"/>
    <w:rsid w:val="56DD5CC4"/>
    <w:rsid w:val="5818EA08"/>
    <w:rsid w:val="5878F35E"/>
    <w:rsid w:val="5885FF52"/>
    <w:rsid w:val="58983B90"/>
    <w:rsid w:val="594E39A3"/>
    <w:rsid w:val="597F0B8F"/>
    <w:rsid w:val="59BA8030"/>
    <w:rsid w:val="59E1818A"/>
    <w:rsid w:val="5A4744FA"/>
    <w:rsid w:val="5A565AD9"/>
    <w:rsid w:val="5A5AC259"/>
    <w:rsid w:val="5AD88716"/>
    <w:rsid w:val="5AED2AB9"/>
    <w:rsid w:val="5B178940"/>
    <w:rsid w:val="5B320D5B"/>
    <w:rsid w:val="5BCFDC52"/>
    <w:rsid w:val="5BE6A2EB"/>
    <w:rsid w:val="5C02FD34"/>
    <w:rsid w:val="5C21E6EF"/>
    <w:rsid w:val="5CDA63B1"/>
    <w:rsid w:val="5D187C3D"/>
    <w:rsid w:val="5D1935F2"/>
    <w:rsid w:val="5DCCECCF"/>
    <w:rsid w:val="5EA1D515"/>
    <w:rsid w:val="5ECD8466"/>
    <w:rsid w:val="5EF7C28A"/>
    <w:rsid w:val="5FA00F4A"/>
    <w:rsid w:val="607D3C6C"/>
    <w:rsid w:val="60A34D75"/>
    <w:rsid w:val="61A8D1F8"/>
    <w:rsid w:val="63455061"/>
    <w:rsid w:val="63CF6A59"/>
    <w:rsid w:val="645EFDAD"/>
    <w:rsid w:val="64E2D371"/>
    <w:rsid w:val="65474DBD"/>
    <w:rsid w:val="65BF51F6"/>
    <w:rsid w:val="65DD3C6A"/>
    <w:rsid w:val="66704356"/>
    <w:rsid w:val="6679E804"/>
    <w:rsid w:val="669C7D1A"/>
    <w:rsid w:val="66E0831E"/>
    <w:rsid w:val="67AC4B60"/>
    <w:rsid w:val="686B3BFC"/>
    <w:rsid w:val="6879258E"/>
    <w:rsid w:val="6972E5D6"/>
    <w:rsid w:val="69AC8D7B"/>
    <w:rsid w:val="6A222A67"/>
    <w:rsid w:val="6A8B5E35"/>
    <w:rsid w:val="6AF2C59E"/>
    <w:rsid w:val="6B554FA8"/>
    <w:rsid w:val="6B5B245B"/>
    <w:rsid w:val="6BD8B087"/>
    <w:rsid w:val="6C778D8F"/>
    <w:rsid w:val="6D9284FF"/>
    <w:rsid w:val="6E9858B1"/>
    <w:rsid w:val="6ED4C9B1"/>
    <w:rsid w:val="6F085737"/>
    <w:rsid w:val="6F8723E3"/>
    <w:rsid w:val="6FDFD36A"/>
    <w:rsid w:val="6FE63312"/>
    <w:rsid w:val="7152974A"/>
    <w:rsid w:val="7188F371"/>
    <w:rsid w:val="71960B41"/>
    <w:rsid w:val="71E6B265"/>
    <w:rsid w:val="7211906E"/>
    <w:rsid w:val="72124274"/>
    <w:rsid w:val="728A8273"/>
    <w:rsid w:val="72FEB431"/>
    <w:rsid w:val="73C895F8"/>
    <w:rsid w:val="74A80955"/>
    <w:rsid w:val="75351B9D"/>
    <w:rsid w:val="75EAF129"/>
    <w:rsid w:val="765D8FAA"/>
    <w:rsid w:val="7748FF65"/>
    <w:rsid w:val="77A9B8CE"/>
    <w:rsid w:val="77EC8D73"/>
    <w:rsid w:val="78B93C9A"/>
    <w:rsid w:val="78E7553F"/>
    <w:rsid w:val="7A828F48"/>
    <w:rsid w:val="7AF2A290"/>
    <w:rsid w:val="7B01FD64"/>
    <w:rsid w:val="7B5E333B"/>
    <w:rsid w:val="7B5F74DC"/>
    <w:rsid w:val="7B610FA7"/>
    <w:rsid w:val="7B6116A5"/>
    <w:rsid w:val="7B8B542D"/>
    <w:rsid w:val="7BA8EA03"/>
    <w:rsid w:val="7BF676E6"/>
    <w:rsid w:val="7CA37B77"/>
    <w:rsid w:val="7D6518A7"/>
    <w:rsid w:val="7E590827"/>
    <w:rsid w:val="7ECC0A27"/>
    <w:rsid w:val="7EDFE2F2"/>
    <w:rsid w:val="7F889ADE"/>
    <w:rsid w:val="7FBAF747"/>
    <w:rsid w:val="7FBFB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C0B6B0"/>
  <w15:docId w15:val="{CB86D9DD-87EB-4538-9DEA-15B5030A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2B6836"/>
    <w:pPr>
      <w:spacing w:before="240"/>
      <w:outlineLvl w:val="0"/>
    </w:pPr>
    <w:rPr>
      <w:b/>
    </w:rPr>
  </w:style>
  <w:style w:type="paragraph" w:styleId="Heading2">
    <w:name w:val="heading 2"/>
    <w:aliases w:val="Sub-heading"/>
    <w:basedOn w:val="Normal"/>
    <w:next w:val="Normal"/>
    <w:qFormat/>
    <w:rsid w:val="00F26E21"/>
    <w:pPr>
      <w:spacing w:before="1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7"/>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uiPriority w:val="59"/>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aliases w:val="F5 List Paragraph,Dot pt,No Spacing1,List Paragraph Char Char Char,Indicator Text,List Paragraph1,Colorful List - Accent 11,Numbered Para 1,Bullet 1,Bullet Points,MAIN CONTENT,List Paragraph2,List Paragraph12,Normal numbered,OBC Bullet,L"/>
    <w:basedOn w:val="Normal"/>
    <w:link w:val="ListParagraphChar"/>
    <w:uiPriority w:val="34"/>
    <w:qFormat/>
    <w:rsid w:val="005570B5"/>
    <w:pPr>
      <w:numPr>
        <w:numId w:val="1"/>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4"/>
      </w:numPr>
    </w:pPr>
  </w:style>
  <w:style w:type="paragraph" w:customStyle="1" w:styleId="Bulletpoints">
    <w:name w:val="Bullet points"/>
    <w:basedOn w:val="Normal"/>
    <w:link w:val="BulletpointsChar"/>
    <w:qFormat/>
    <w:rsid w:val="005570B5"/>
    <w:pPr>
      <w:numPr>
        <w:numId w:val="16"/>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ooterChar">
    <w:name w:val="Footer Char"/>
    <w:aliases w:val="zzFooter Char"/>
    <w:link w:val="Footer"/>
    <w:uiPriority w:val="99"/>
    <w:rsid w:val="004B11AE"/>
    <w:rPr>
      <w:color w:val="000000"/>
      <w:sz w:val="18"/>
      <w:szCs w:val="24"/>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aliases w:val="F5 List Paragraph Char,Dot pt Char,No Spacing1 Char,List Paragraph Char Char Char Char,Indicator Text Char,List Paragraph1 Char,Colorful List - Accent 11 Char,Numbered Para 1 Char,Bullet 1 Char,Bullet Points Char,MAIN CONTENT Char"/>
    <w:link w:val="ListParagraph"/>
    <w:uiPriority w:val="34"/>
    <w:qFormat/>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4"/>
      </w:numPr>
      <w:ind w:left="993" w:hanging="426"/>
    </w:pPr>
  </w:style>
  <w:style w:type="character" w:customStyle="1" w:styleId="Heading1Char">
    <w:name w:val="Heading 1 Char"/>
    <w:aliases w:val="aHeading Char"/>
    <w:link w:val="Heading1"/>
    <w:rsid w:val="002B6836"/>
    <w:rPr>
      <w:b/>
      <w:color w:val="000000"/>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styleId="TableColumns1">
    <w:name w:val="Table Columns 1"/>
    <w:basedOn w:val="TableNormal"/>
    <w:rsid w:val="00507EC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507EC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507EC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507E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ui-provider">
    <w:name w:val="ui-provider"/>
    <w:basedOn w:val="DefaultParagraphFont"/>
    <w:rsid w:val="00691458"/>
  </w:style>
  <w:style w:type="paragraph" w:customStyle="1" w:styleId="xmsonormal">
    <w:name w:val="x_msonormal"/>
    <w:basedOn w:val="Normal"/>
    <w:rsid w:val="00D56239"/>
    <w:pPr>
      <w:spacing w:before="100" w:beforeAutospacing="1" w:after="100" w:afterAutospacing="1"/>
    </w:pPr>
    <w:rPr>
      <w:rFonts w:ascii="Times New Roman" w:hAnsi="Times New Roman"/>
      <w:color w:val="auto"/>
    </w:rPr>
  </w:style>
  <w:style w:type="character" w:customStyle="1" w:styleId="CommentTextChar">
    <w:name w:val="Comment Text Char"/>
    <w:basedOn w:val="DefaultParagraphFont"/>
    <w:link w:val="CommentText"/>
    <w:semiHidden/>
    <w:rsid w:val="005D6343"/>
    <w:rPr>
      <w:color w:val="000000"/>
    </w:rPr>
  </w:style>
  <w:style w:type="character" w:customStyle="1" w:styleId="Mention1">
    <w:name w:val="Mention1"/>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pPr>
    <w:rPr>
      <w:sz w:val="20"/>
      <w:szCs w:val="20"/>
    </w:rPr>
  </w:style>
  <w:style w:type="character" w:styleId="FollowedHyperlink">
    <w:name w:val="FollowedHyperlink"/>
    <w:basedOn w:val="DefaultParagraphFont"/>
    <w:semiHidden/>
    <w:unhideWhenUsed/>
    <w:rsid w:val="00A713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8469">
      <w:bodyDiv w:val="1"/>
      <w:marLeft w:val="0"/>
      <w:marRight w:val="0"/>
      <w:marTop w:val="0"/>
      <w:marBottom w:val="0"/>
      <w:divBdr>
        <w:top w:val="none" w:sz="0" w:space="0" w:color="auto"/>
        <w:left w:val="none" w:sz="0" w:space="0" w:color="auto"/>
        <w:bottom w:val="none" w:sz="0" w:space="0" w:color="auto"/>
        <w:right w:val="none" w:sz="0" w:space="0" w:color="auto"/>
      </w:divBdr>
    </w:div>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21219760">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911037322">
      <w:bodyDiv w:val="1"/>
      <w:marLeft w:val="0"/>
      <w:marRight w:val="0"/>
      <w:marTop w:val="0"/>
      <w:marBottom w:val="0"/>
      <w:divBdr>
        <w:top w:val="none" w:sz="0" w:space="0" w:color="auto"/>
        <w:left w:val="none" w:sz="0" w:space="0" w:color="auto"/>
        <w:bottom w:val="none" w:sz="0" w:space="0" w:color="auto"/>
        <w:right w:val="none" w:sz="0" w:space="0" w:color="auto"/>
      </w:divBdr>
    </w:div>
    <w:div w:id="1229877081">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54129367">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88298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ohen@oxford.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afghan-resettlement-programme-operational-data/afghan-resettlement-programme-operational-dat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8D5D8642173479BD0EEC1F9F3C1CC" ma:contentTypeVersion="4" ma:contentTypeDescription="Create a new document." ma:contentTypeScope="" ma:versionID="37900c3fe29c78c73ba2516a7830e50f">
  <xsd:schema xmlns:xsd="http://www.w3.org/2001/XMLSchema" xmlns:xs="http://www.w3.org/2001/XMLSchema" xmlns:p="http://schemas.microsoft.com/office/2006/metadata/properties" xmlns:ns2="0073256b-31ef-42c3-88ff-5493bf852c6e" xmlns:ns3="b8e89a6d-3068-41ce-9f94-69ade517b3f1" targetNamespace="http://schemas.microsoft.com/office/2006/metadata/properties" ma:root="true" ma:fieldsID="0306df4c1bbf9ccd78762a7194bd06ab" ns2:_="" ns3:_="">
    <xsd:import namespace="0073256b-31ef-42c3-88ff-5493bf852c6e"/>
    <xsd:import namespace="b8e89a6d-3068-41ce-9f94-69ade517b3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3256b-31ef-42c3-88ff-5493bf852c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e89a6d-3068-41ce-9f94-69ade517b3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073256b-31ef-42c3-88ff-5493bf852c6e">
      <UserInfo>
        <DisplayName>COHEN Stephen</DisplayName>
        <AccountId>55</AccountId>
        <AccountType/>
      </UserInfo>
      <UserInfo>
        <DisplayName>ECCLESTONE Marcia</DisplayName>
        <AccountId>56</AccountId>
        <AccountType/>
      </UserInfo>
      <UserInfo>
        <DisplayName>PEEK Malcolm</DisplayName>
        <AccountId>57</AccountId>
        <AccountType/>
      </UserInfo>
      <UserInfo>
        <DisplayName>WOOD Richard</DisplayName>
        <AccountId>58</AccountId>
        <AccountType/>
      </UserInfo>
      <UserInfo>
        <DisplayName>REID Paul</DisplayName>
        <AccountId>59</AccountId>
        <AccountType/>
      </UserInfo>
      <UserInfo>
        <DisplayName>GABRIEL Stephen</DisplayName>
        <AccountId>42</AccountId>
        <AccountType/>
      </UserInfo>
      <UserInfo>
        <DisplayName>JONES Jason</DisplayName>
        <AccountId>43</AccountId>
        <AccountType/>
      </UserInfo>
      <UserInfo>
        <DisplayName>SCHOLES Dave</DisplayName>
        <AccountId>13</AccountId>
        <AccountType/>
      </UserInfo>
      <UserInfo>
        <DisplayName>PARRY Nerys</DisplayName>
        <AccountId>41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0CFA5-6F37-42B9-98B1-AEE080674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3256b-31ef-42c3-88ff-5493bf852c6e"/>
    <ds:schemaRef ds:uri="b8e89a6d-3068-41ce-9f94-69ade517b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C17C4-9508-4854-AF87-074B9DFE8D9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b8e89a6d-3068-41ce-9f94-69ade517b3f1"/>
    <ds:schemaRef ds:uri="0073256b-31ef-42c3-88ff-5493bf852c6e"/>
    <ds:schemaRef ds:uri="http://www.w3.org/XML/1998/namespace"/>
    <ds:schemaRef ds:uri="http://purl.org/dc/elements/1.1/"/>
  </ds:schemaRefs>
</ds:datastoreItem>
</file>

<file path=customXml/itemProps3.xml><?xml version="1.0" encoding="utf-8"?>
<ds:datastoreItem xmlns:ds="http://schemas.openxmlformats.org/officeDocument/2006/customXml" ds:itemID="{4E4CEBDF-3A1E-4D76-BCF4-6DD491479C9F}">
  <ds:schemaRefs>
    <ds:schemaRef ds:uri="http://schemas.microsoft.com/sharepoint/v3/contenttype/forms"/>
  </ds:schemaRefs>
</ds:datastoreItem>
</file>

<file path=customXml/itemProps4.xml><?xml version="1.0" encoding="utf-8"?>
<ds:datastoreItem xmlns:ds="http://schemas.openxmlformats.org/officeDocument/2006/customXml" ds:itemID="{2FBA0F63-1F3D-40C0-B4B8-B25860123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2486</Words>
  <Characters>13055</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OxCityCouncil Cabinet report</vt:lpstr>
    </vt:vector>
  </TitlesOfParts>
  <Company>Oxford City Council</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OxCityCouncil Cabinet report</dc:title>
  <dc:subject/>
  <dc:creator>jmitchell</dc:creator>
  <cp:keywords>OxCityCouncil Report</cp:keywords>
  <cp:lastModifiedBy>MCCOLLUM Brenda</cp:lastModifiedBy>
  <cp:revision>15</cp:revision>
  <cp:lastPrinted>2023-04-19T06:19:00Z</cp:lastPrinted>
  <dcterms:created xsi:type="dcterms:W3CDTF">2024-10-08T14:28:00Z</dcterms:created>
  <dcterms:modified xsi:type="dcterms:W3CDTF">2024-10-28T10:57:00Z</dcterms:modified>
  <cp:category>Report to Council or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0x010100A508D5D8642173479BD0EEC1F9F3C1CC</vt:lpwstr>
  </property>
  <property fmtid="{D5CDD505-2E9C-101B-9397-08002B2CF9AE}" pid="3" name="GrammarlyDocumentId">
    <vt:lpwstr>2a9965c86305942df1249770b2f6c14b502684fe42ebc0645f99d129e6158229</vt:lpwstr>
  </property>
</Properties>
</file>